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Inhaltsverzeichnisberschrift"/>
            <w:spacing w:before="600" w:after="240"/>
            <w:rPr>
              <w:rFonts w:ascii="Myriad Pro" w:hAnsi="Myriad Pro"/>
            </w:rPr>
          </w:pPr>
          <w:r>
            <w:rPr/>
            <w:t>Inhaltsverzeichnis</w:t>
          </w:r>
        </w:p>
        <w:p>
          <w:pPr>
            <w:pStyle w:val="Inhaltsverzeichnis1"/>
            <w:tabs>
              <w:tab w:val="clear" w:pos="708"/>
              <w:tab w:val="right" w:pos="9062" w:leader="dot"/>
            </w:tabs>
            <w:rPr/>
          </w:pPr>
          <w:r>
            <w:fldChar w:fldCharType="begin"/>
          </w:r>
          <w:r>
            <w:rPr>
              <w:webHidden/>
              <w:rStyle w:val="Verzeichnissprung"/>
              <w:rFonts w:eastAsia="Times New Roman"/>
              <w:lang w:eastAsia="ar-SA"/>
            </w:rPr>
            <w:instrText xml:space="preserve"> TOC \z \o "1-3" \u \h</w:instrText>
          </w:r>
          <w:r>
            <w:rPr>
              <w:webHidden/>
              <w:rStyle w:val="Verzeichnissprung"/>
              <w:rFonts w:eastAsia="Times New Roman"/>
              <w:lang w:eastAsia="ar-SA"/>
            </w:rPr>
            <w:fldChar w:fldCharType="separate"/>
          </w:r>
          <w:hyperlink w:anchor="_Toc449357464">
            <w:r>
              <w:rPr>
                <w:webHidden/>
                <w:rStyle w:val="Verzeichnissprung"/>
                <w:rFonts w:eastAsia="Times New Roman"/>
                <w:lang w:eastAsia="ar-SA"/>
              </w:rPr>
              <w:t>1. Zweck</w:t>
            </w:r>
            <w:r>
              <w:rPr>
                <w:webHidden/>
              </w:rPr>
              <w:fldChar w:fldCharType="begin"/>
            </w:r>
            <w:r>
              <w:rPr>
                <w:webHidden/>
              </w:rPr>
              <w:instrText xml:space="preserve">PAGEREF _Toc449357464 \h</w:instrText>
            </w:r>
            <w:r>
              <w:rPr>
                <w:webHidden/>
              </w:rPr>
              <w:fldChar w:fldCharType="separate"/>
            </w:r>
            <w:r>
              <w:rPr>
                <w:rStyle w:val="Verzeichnissprung"/>
                <w:vanish w:val="false"/>
              </w:rPr>
              <w:tab/>
              <w:t>2</w:t>
            </w:r>
            <w:r>
              <w:rPr>
                <w:webHidden/>
              </w:rPr>
              <w:fldChar w:fldCharType="end"/>
            </w:r>
          </w:hyperlink>
        </w:p>
        <w:p>
          <w:pPr>
            <w:pStyle w:val="Inhaltsverzeichnis1"/>
            <w:tabs>
              <w:tab w:val="clear" w:pos="708"/>
              <w:tab w:val="right" w:pos="9062" w:leader="dot"/>
            </w:tabs>
            <w:rPr/>
          </w:pPr>
          <w:hyperlink w:anchor="_Toc449357465">
            <w:r>
              <w:rPr>
                <w:webHidden/>
                <w:rStyle w:val="Verzeichnissprung"/>
                <w:rFonts w:eastAsia="Myriad Pro"/>
                <w:lang w:eastAsia="ar-SA"/>
              </w:rPr>
              <w:t>2. Geltungsbereich</w:t>
            </w:r>
            <w:r>
              <w:rPr>
                <w:webHidden/>
              </w:rPr>
              <w:fldChar w:fldCharType="begin"/>
            </w:r>
            <w:r>
              <w:rPr>
                <w:webHidden/>
              </w:rPr>
              <w:instrText xml:space="preserve">PAGEREF _Toc449357465 \h</w:instrText>
            </w:r>
            <w:r>
              <w:rPr>
                <w:webHidden/>
              </w:rPr>
              <w:fldChar w:fldCharType="separate"/>
            </w:r>
            <w:r>
              <w:rPr>
                <w:rStyle w:val="Verzeichnissprung"/>
                <w:vanish w:val="false"/>
              </w:rPr>
              <w:tab/>
              <w:t>2</w:t>
            </w:r>
            <w:r>
              <w:rPr>
                <w:webHidden/>
              </w:rPr>
              <w:fldChar w:fldCharType="end"/>
            </w:r>
          </w:hyperlink>
        </w:p>
        <w:p>
          <w:pPr>
            <w:pStyle w:val="Inhaltsverzeichnis1"/>
            <w:tabs>
              <w:tab w:val="clear" w:pos="708"/>
              <w:tab w:val="right" w:pos="9062" w:leader="dot"/>
            </w:tabs>
            <w:rPr/>
          </w:pPr>
          <w:hyperlink w:anchor="_Toc449357466">
            <w:r>
              <w:rPr>
                <w:webHidden/>
                <w:rStyle w:val="Verzeichnissprung"/>
                <w:rFonts w:eastAsia="Myriad Pro"/>
                <w:lang w:eastAsia="ar-SA"/>
              </w:rPr>
              <w:t>3. Verantwortlichkeiten</w:t>
            </w:r>
            <w:r>
              <w:rPr>
                <w:webHidden/>
              </w:rPr>
              <w:fldChar w:fldCharType="begin"/>
            </w:r>
            <w:r>
              <w:rPr>
                <w:webHidden/>
              </w:rPr>
              <w:instrText xml:space="preserve">PAGEREF _Toc449357466 \h</w:instrText>
            </w:r>
            <w:r>
              <w:rPr>
                <w:webHidden/>
              </w:rPr>
              <w:fldChar w:fldCharType="separate"/>
            </w:r>
            <w:r>
              <w:rPr>
                <w:rStyle w:val="Verzeichnissprung"/>
                <w:vanish w:val="false"/>
              </w:rPr>
              <w:tab/>
              <w:t>2</w:t>
            </w:r>
            <w:r>
              <w:rPr>
                <w:webHidden/>
              </w:rPr>
              <w:fldChar w:fldCharType="end"/>
            </w:r>
          </w:hyperlink>
        </w:p>
        <w:p>
          <w:pPr>
            <w:pStyle w:val="Inhaltsverzeichnis1"/>
            <w:tabs>
              <w:tab w:val="clear" w:pos="708"/>
              <w:tab w:val="right" w:pos="9062" w:leader="dot"/>
            </w:tabs>
            <w:rPr/>
          </w:pPr>
          <w:hyperlink w:anchor="_Toc449357467">
            <w:r>
              <w:rPr>
                <w:webHidden/>
                <w:rStyle w:val="Verzeichnissprung"/>
                <w:rFonts w:eastAsia="Myriad Pro"/>
                <w:lang w:eastAsia="ar-SA"/>
              </w:rPr>
              <w:t>4. Beschreibung</w:t>
            </w:r>
            <w:r>
              <w:rPr>
                <w:webHidden/>
              </w:rPr>
              <w:fldChar w:fldCharType="begin"/>
            </w:r>
            <w:r>
              <w:rPr>
                <w:webHidden/>
              </w:rPr>
              <w:instrText xml:space="preserve">PAGEREF _Toc449357467 \h</w:instrText>
            </w:r>
            <w:r>
              <w:rPr>
                <w:webHidden/>
              </w:rPr>
              <w:fldChar w:fldCharType="separate"/>
            </w:r>
            <w:r>
              <w:rPr>
                <w:rStyle w:val="Verzeichnissprung"/>
                <w:vanish w:val="false"/>
              </w:rPr>
              <w:tab/>
              <w:t>3</w:t>
            </w:r>
            <w:r>
              <w:rPr>
                <w:webHidden/>
              </w:rPr>
              <w:fldChar w:fldCharType="end"/>
            </w:r>
          </w:hyperlink>
        </w:p>
        <w:p>
          <w:pPr>
            <w:pStyle w:val="Inhaltsverzeichnis2"/>
            <w:tabs>
              <w:tab w:val="clear" w:pos="708"/>
              <w:tab w:val="right" w:pos="9062" w:leader="dot"/>
            </w:tabs>
            <w:rPr/>
          </w:pPr>
          <w:hyperlink w:anchor="_Toc449357468">
            <w:r>
              <w:rPr>
                <w:webHidden/>
                <w:rStyle w:val="Verzeichnissprung"/>
                <w:rFonts w:eastAsia="Myriad Pro"/>
                <w:lang w:eastAsia="ar-SA"/>
              </w:rPr>
              <w:t>4.1 Personen</w:t>
            </w:r>
            <w:r>
              <w:rPr>
                <w:webHidden/>
              </w:rPr>
              <w:fldChar w:fldCharType="begin"/>
            </w:r>
            <w:r>
              <w:rPr>
                <w:webHidden/>
              </w:rPr>
              <w:instrText xml:space="preserve">PAGEREF _Toc449357468 \h</w:instrText>
            </w:r>
            <w:r>
              <w:rPr>
                <w:webHidden/>
              </w:rPr>
              <w:fldChar w:fldCharType="separate"/>
            </w:r>
            <w:r>
              <w:rPr>
                <w:rStyle w:val="Verzeichnissprung"/>
                <w:vanish w:val="false"/>
              </w:rPr>
              <w:tab/>
              <w:t>3</w:t>
            </w:r>
            <w:r>
              <w:rPr>
                <w:webHidden/>
              </w:rPr>
              <w:fldChar w:fldCharType="end"/>
            </w:r>
          </w:hyperlink>
        </w:p>
        <w:p>
          <w:pPr>
            <w:pStyle w:val="Inhaltsverzeichnis2"/>
            <w:tabs>
              <w:tab w:val="clear" w:pos="708"/>
              <w:tab w:val="right" w:pos="9062" w:leader="dot"/>
            </w:tabs>
            <w:rPr/>
          </w:pPr>
          <w:hyperlink w:anchor="_Toc449357469">
            <w:r>
              <w:rPr>
                <w:webHidden/>
                <w:rStyle w:val="Verzeichnissprung"/>
                <w:rFonts w:eastAsia="Myriad Pro"/>
                <w:lang w:eastAsia="ar-SA"/>
              </w:rPr>
              <w:t>4.2 Wissen der Organisation und Kompetenz</w:t>
            </w:r>
            <w:r>
              <w:rPr>
                <w:webHidden/>
              </w:rPr>
              <w:fldChar w:fldCharType="begin"/>
            </w:r>
            <w:r>
              <w:rPr>
                <w:webHidden/>
              </w:rPr>
              <w:instrText xml:space="preserve">PAGEREF _Toc449357469 \h</w:instrText>
            </w:r>
            <w:r>
              <w:rPr>
                <w:webHidden/>
              </w:rPr>
              <w:fldChar w:fldCharType="separate"/>
            </w:r>
            <w:r>
              <w:rPr>
                <w:rStyle w:val="Verzeichnissprung"/>
                <w:vanish w:val="false"/>
              </w:rPr>
              <w:tab/>
              <w:t>3</w:t>
            </w:r>
            <w:r>
              <w:rPr>
                <w:webHidden/>
              </w:rPr>
              <w:fldChar w:fldCharType="end"/>
            </w:r>
          </w:hyperlink>
        </w:p>
        <w:p>
          <w:pPr>
            <w:pStyle w:val="Inhaltsverzeichnis2"/>
            <w:tabs>
              <w:tab w:val="clear" w:pos="708"/>
              <w:tab w:val="right" w:pos="9062" w:leader="dot"/>
            </w:tabs>
            <w:rPr/>
          </w:pPr>
          <w:hyperlink w:anchor="_Toc449357470">
            <w:r>
              <w:rPr>
                <w:webHidden/>
                <w:rStyle w:val="Verzeichnissprung"/>
                <w:rFonts w:eastAsia="Myriad Pro"/>
                <w:lang w:eastAsia="ar-SA"/>
              </w:rPr>
              <w:t>4.3 Bewusstsein</w:t>
            </w:r>
            <w:r>
              <w:rPr>
                <w:webHidden/>
              </w:rPr>
              <w:fldChar w:fldCharType="begin"/>
            </w:r>
            <w:r>
              <w:rPr>
                <w:webHidden/>
              </w:rPr>
              <w:instrText xml:space="preserve">PAGEREF _Toc449357470 \h</w:instrText>
            </w:r>
            <w:r>
              <w:rPr>
                <w:webHidden/>
              </w:rPr>
              <w:fldChar w:fldCharType="separate"/>
            </w:r>
            <w:r>
              <w:rPr>
                <w:rStyle w:val="Verzeichnissprung"/>
                <w:vanish w:val="false"/>
              </w:rPr>
              <w:tab/>
              <w:t>4</w:t>
            </w:r>
            <w:r>
              <w:rPr>
                <w:webHidden/>
              </w:rPr>
              <w:fldChar w:fldCharType="end"/>
            </w:r>
          </w:hyperlink>
        </w:p>
        <w:p>
          <w:pPr>
            <w:pStyle w:val="Inhaltsverzeichnis3"/>
            <w:tabs>
              <w:tab w:val="clear" w:pos="708"/>
              <w:tab w:val="right" w:pos="9062" w:leader="dot"/>
            </w:tabs>
            <w:rPr/>
          </w:pPr>
          <w:hyperlink w:anchor="_Toc449357471">
            <w:r>
              <w:rPr>
                <w:webHidden/>
                <w:rStyle w:val="Verzeichnissprung"/>
              </w:rPr>
              <w:t>4.3.1 Politik und Ziele</w:t>
            </w:r>
            <w:r>
              <w:rPr>
                <w:webHidden/>
              </w:rPr>
              <w:fldChar w:fldCharType="begin"/>
            </w:r>
            <w:r>
              <w:rPr>
                <w:webHidden/>
              </w:rPr>
              <w:instrText xml:space="preserve">PAGEREF _Toc449357471 \h</w:instrText>
            </w:r>
            <w:r>
              <w:rPr>
                <w:webHidden/>
              </w:rPr>
              <w:fldChar w:fldCharType="separate"/>
            </w:r>
            <w:r>
              <w:rPr>
                <w:rStyle w:val="Verzeichnissprung"/>
                <w:vanish w:val="false"/>
              </w:rPr>
              <w:tab/>
              <w:t>4</w:t>
            </w:r>
            <w:r>
              <w:rPr>
                <w:webHidden/>
              </w:rPr>
              <w:fldChar w:fldCharType="end"/>
            </w:r>
          </w:hyperlink>
        </w:p>
        <w:p>
          <w:pPr>
            <w:pStyle w:val="Inhaltsverzeichnis3"/>
            <w:tabs>
              <w:tab w:val="clear" w:pos="708"/>
              <w:tab w:val="right" w:pos="9062" w:leader="dot"/>
            </w:tabs>
            <w:rPr/>
          </w:pPr>
          <w:hyperlink w:anchor="_Toc449357472">
            <w:r>
              <w:rPr>
                <w:webHidden/>
                <w:rStyle w:val="Verzeichnissprung"/>
              </w:rPr>
              <w:t>4.3.2 Persönliche Einsatzvoraussetzungen</w:t>
            </w:r>
            <w:r>
              <w:rPr>
                <w:webHidden/>
              </w:rPr>
              <w:fldChar w:fldCharType="begin"/>
            </w:r>
            <w:r>
              <w:rPr>
                <w:webHidden/>
              </w:rPr>
              <w:instrText xml:space="preserve">PAGEREF _Toc449357472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08"/>
              <w:tab w:val="right" w:pos="9062" w:leader="dot"/>
            </w:tabs>
            <w:rPr/>
          </w:pPr>
          <w:hyperlink w:anchor="_Toc449357473">
            <w:r>
              <w:rPr>
                <w:webHidden/>
                <w:rStyle w:val="Verzeichnissprung"/>
                <w:rFonts w:eastAsia="Myriad Pro"/>
                <w:lang w:eastAsia="ar-SA"/>
              </w:rPr>
              <w:t>4.4 Kommunikation</w:t>
            </w:r>
            <w:r>
              <w:rPr>
                <w:webHidden/>
              </w:rPr>
              <w:fldChar w:fldCharType="begin"/>
            </w:r>
            <w:r>
              <w:rPr>
                <w:webHidden/>
              </w:rPr>
              <w:instrText xml:space="preserve">PAGEREF _Toc449357473 \h</w:instrText>
            </w:r>
            <w:r>
              <w:rPr>
                <w:webHidden/>
              </w:rPr>
              <w:fldChar w:fldCharType="separate"/>
            </w:r>
            <w:r>
              <w:rPr>
                <w:rStyle w:val="Verzeichnissprung"/>
                <w:vanish w:val="false"/>
              </w:rPr>
              <w:tab/>
              <w:t>5</w:t>
            </w:r>
            <w:r>
              <w:rPr>
                <w:webHidden/>
              </w:rPr>
              <w:fldChar w:fldCharType="end"/>
            </w:r>
          </w:hyperlink>
        </w:p>
        <w:p>
          <w:pPr>
            <w:pStyle w:val="Inhaltsverzeichnis1"/>
            <w:tabs>
              <w:tab w:val="clear" w:pos="708"/>
              <w:tab w:val="right" w:pos="9062" w:leader="dot"/>
            </w:tabs>
            <w:rPr/>
          </w:pPr>
          <w:hyperlink w:anchor="_Toc449357474">
            <w:r>
              <w:rPr>
                <w:webHidden/>
                <w:rStyle w:val="Verzeichnissprung"/>
                <w:rFonts w:eastAsia="Times New Roman"/>
                <w:lang w:eastAsia="ar-SA"/>
              </w:rPr>
              <w:t>5. Mitgeltende Dokumente</w:t>
            </w:r>
            <w:r>
              <w:rPr>
                <w:webHidden/>
              </w:rPr>
              <w:fldChar w:fldCharType="begin"/>
            </w:r>
            <w:r>
              <w:rPr>
                <w:webHidden/>
              </w:rPr>
              <w:instrText xml:space="preserve">PAGEREF _Toc449357474 \h</w:instrText>
            </w:r>
            <w:r>
              <w:rPr>
                <w:webHidden/>
              </w:rPr>
              <w:fldChar w:fldCharType="separate"/>
            </w:r>
            <w:r>
              <w:rPr>
                <w:rStyle w:val="Verzeichnissprung"/>
                <w:vanish w:val="false"/>
              </w:rPr>
              <w:tab/>
              <w:t>6</w:t>
            </w:r>
            <w:r>
              <w:rPr>
                <w:webHidden/>
              </w:rPr>
              <w:fldChar w:fldCharType="end"/>
            </w:r>
          </w:hyperlink>
        </w:p>
        <w:p>
          <w:pPr>
            <w:pStyle w:val="Inhaltsverzeichnis1"/>
            <w:tabs>
              <w:tab w:val="clear" w:pos="708"/>
              <w:tab w:val="right" w:pos="9062" w:leader="dot"/>
            </w:tabs>
            <w:rPr/>
          </w:pPr>
          <w:hyperlink w:anchor="_Toc449357475">
            <w:r>
              <w:rPr>
                <w:webHidden/>
                <w:rStyle w:val="Verzeichnissprung"/>
                <w:rFonts w:eastAsia="Times New Roman"/>
                <w:lang w:eastAsia="ar-SA"/>
              </w:rPr>
              <w:t>6. Gültigkeit</w:t>
            </w:r>
            <w:r>
              <w:rPr>
                <w:webHidden/>
              </w:rPr>
              <w:fldChar w:fldCharType="begin"/>
            </w:r>
            <w:r>
              <w:rPr>
                <w:webHidden/>
              </w:rPr>
              <w:instrText xml:space="preserve">PAGEREF _Toc449357475 \h</w:instrText>
            </w:r>
            <w:r>
              <w:rPr>
                <w:webHidden/>
              </w:rPr>
              <w:fldChar w:fldCharType="separate"/>
            </w:r>
            <w:r>
              <w:rPr>
                <w:rStyle w:val="Verzeichnissprung"/>
                <w:vanish w:val="false"/>
              </w:rPr>
              <w:tab/>
              <w:t>6</w:t>
            </w:r>
            <w:r>
              <w:rPr>
                <w:webHidden/>
              </w:rPr>
              <w:fldChar w:fldCharType="end"/>
            </w:r>
          </w:hyperlink>
        </w:p>
        <w:p>
          <w:pPr>
            <w:pStyle w:val="Inhaltsverzeichnis1"/>
            <w:tabs>
              <w:tab w:val="clear" w:pos="708"/>
              <w:tab w:val="right" w:pos="9062" w:leader="dot"/>
            </w:tabs>
            <w:rPr/>
          </w:pPr>
          <w:hyperlink w:anchor="_Toc449357476">
            <w:r>
              <w:rPr>
                <w:webHidden/>
                <w:rStyle w:val="Verzeichnissprung"/>
                <w:rFonts w:eastAsia="Times New Roman"/>
                <w:lang w:eastAsia="ar-SA"/>
              </w:rPr>
              <w:t>7. Anlagen</w:t>
            </w:r>
            <w:r>
              <w:rPr>
                <w:webHidden/>
              </w:rPr>
              <w:fldChar w:fldCharType="begin"/>
            </w:r>
            <w:r>
              <w:rPr>
                <w:webHidden/>
              </w:rPr>
              <w:instrText xml:space="preserve">PAGEREF _Toc449357476 \h</w:instrText>
            </w:r>
            <w:r>
              <w:rPr>
                <w:webHidden/>
              </w:rPr>
              <w:fldChar w:fldCharType="separate"/>
            </w:r>
            <w:r>
              <w:rPr>
                <w:rStyle w:val="Verzeichnissprung"/>
                <w:vanish w:val="false"/>
              </w:rPr>
              <w:tab/>
              <w:t>6</w:t>
            </w:r>
            <w:r>
              <w:rPr>
                <w:webHidden/>
              </w:rPr>
              <w:fldChar w:fldCharType="end"/>
            </w:r>
          </w:hyperlink>
        </w:p>
        <w:p>
          <w:pPr>
            <w:pStyle w:val="Normal"/>
            <w:rPr>
              <w:rFonts w:ascii="Myriad Pro" w:hAnsi="Myriad Pro"/>
              <w:b/>
              <w:b/>
            </w:rPr>
          </w:pPr>
          <w:r>
            <w:rPr>
              <w:b/>
            </w:rPr>
          </w:r>
          <w:r>
            <w:rPr>
              <w:b/>
            </w:rPr>
            <w:fldChar w:fldCharType="end"/>
          </w:r>
        </w:p>
      </w:sdtContent>
    </w:sdt>
    <w:p>
      <w:pPr>
        <w:pStyle w:val="Normal"/>
        <w:rPr/>
      </w:pPr>
      <w:r>
        <w:rPr/>
      </w:r>
    </w:p>
    <w:tbl>
      <w:tblPr>
        <w:tblStyle w:val="Tabellenraster"/>
        <w:tblW w:w="92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70"/>
        <w:gridCol w:w="3070"/>
        <w:gridCol w:w="3071"/>
      </w:tblGrid>
      <w:tr>
        <w:trPr>
          <w:trHeight w:val="462" w:hRule="atLeast"/>
          <w:cantSplit w:val="true"/>
        </w:trPr>
        <w:tc>
          <w:tcPr>
            <w:tcW w:w="3070" w:type="dxa"/>
            <w:tcBorders>
              <w:right w:val="nil"/>
            </w:tcBorders>
            <w:vAlign w:val="center"/>
          </w:tcPr>
          <w:p>
            <w:pPr>
              <w:pStyle w:val="Normal"/>
              <w:widowControl/>
              <w:spacing w:lineRule="auto" w:line="240" w:before="0" w:after="0"/>
              <w:jc w:val="center"/>
              <w:rPr>
                <w:rFonts w:ascii="Myriad Pro" w:hAnsi="Myriad Pro" w:eastAsia="" w:cs=""/>
                <w:kern w:val="0"/>
                <w:sz w:val="22"/>
                <w:szCs w:val="22"/>
                <w:lang w:val="de-DE" w:eastAsia="de-DE" w:bidi="ar-SA"/>
              </w:rPr>
            </w:pPr>
            <w:r>
              <w:rPr>
                <w:rFonts w:eastAsia="" w:cs=""/>
                <w:kern w:val="0"/>
                <w:sz w:val="22"/>
                <w:szCs w:val="22"/>
                <w:lang w:val="de-DE" w:eastAsia="de-DE" w:bidi="ar-SA"/>
              </w:rPr>
              <w:t>ERSTELLT</w:t>
            </w:r>
          </w:p>
        </w:tc>
        <w:tc>
          <w:tcPr>
            <w:tcW w:w="3070" w:type="dxa"/>
            <w:tcBorders/>
            <w:vAlign w:val="center"/>
          </w:tcPr>
          <w:p>
            <w:pPr>
              <w:pStyle w:val="Normal"/>
              <w:widowControl/>
              <w:spacing w:lineRule="auto" w:line="240" w:before="0" w:after="0"/>
              <w:jc w:val="center"/>
              <w:rPr>
                <w:rFonts w:ascii="Myriad Pro" w:hAnsi="Myriad Pro" w:eastAsia="" w:cs=""/>
                <w:kern w:val="0"/>
                <w:sz w:val="22"/>
                <w:szCs w:val="22"/>
                <w:lang w:val="de-DE" w:eastAsia="de-DE" w:bidi="ar-SA"/>
              </w:rPr>
            </w:pPr>
            <w:r>
              <w:rPr>
                <w:rFonts w:eastAsia="" w:cs=""/>
                <w:kern w:val="0"/>
                <w:sz w:val="22"/>
                <w:szCs w:val="22"/>
                <w:lang w:val="de-DE" w:eastAsia="de-DE" w:bidi="ar-SA"/>
              </w:rPr>
              <w:t>GEPRÜFT</w:t>
            </w:r>
          </w:p>
        </w:tc>
        <w:tc>
          <w:tcPr>
            <w:tcW w:w="3071" w:type="dxa"/>
            <w:tcBorders/>
            <w:vAlign w:val="center"/>
          </w:tcPr>
          <w:p>
            <w:pPr>
              <w:pStyle w:val="Normal"/>
              <w:widowControl/>
              <w:spacing w:lineRule="auto" w:line="240" w:before="0" w:after="0"/>
              <w:jc w:val="center"/>
              <w:rPr>
                <w:rFonts w:ascii="Myriad Pro" w:hAnsi="Myriad Pro" w:eastAsia="" w:cs=""/>
                <w:kern w:val="0"/>
                <w:sz w:val="22"/>
                <w:szCs w:val="22"/>
                <w:lang w:val="de-DE" w:eastAsia="de-DE" w:bidi="ar-SA"/>
              </w:rPr>
            </w:pPr>
            <w:r>
              <w:rPr>
                <w:rFonts w:eastAsia="" w:cs=""/>
                <w:kern w:val="0"/>
                <w:sz w:val="22"/>
                <w:szCs w:val="22"/>
                <w:lang w:val="de-DE" w:eastAsia="de-DE" w:bidi="ar-SA"/>
              </w:rPr>
              <w:t>FREIGEGEBEN</w:t>
            </w:r>
          </w:p>
        </w:tc>
      </w:tr>
      <w:tr>
        <w:trPr>
          <w:trHeight w:val="767" w:hRule="atLeast"/>
          <w:cantSplit w:val="true"/>
        </w:trPr>
        <w:tc>
          <w:tcPr>
            <w:tcW w:w="3070" w:type="dxa"/>
            <w:tcBorders>
              <w:right w:val="nil"/>
            </w:tcBorders>
          </w:tcPr>
          <w:p>
            <w:pPr>
              <w:pStyle w:val="Normal"/>
              <w:widowControl/>
              <w:spacing w:lineRule="auto" w:line="276" w:before="120" w:after="0"/>
              <w:rPr>
                <w:rFonts w:ascii="Myriad Pro" w:hAnsi="Myriad Pro"/>
              </w:rPr>
            </w:pPr>
            <w:r>
              <w:rPr>
                <w:rFonts w:eastAsia="" w:cs=""/>
                <w:kern w:val="0"/>
                <w:sz w:val="22"/>
                <w:szCs w:val="22"/>
                <w:lang w:val="de-DE" w:eastAsia="de-DE" w:bidi="ar-SA"/>
              </w:rPr>
              <w:t xml:space="preserve">Am: </w:t>
            </w:r>
            <w:r>
              <w:rPr>
                <w:rFonts w:eastAsia="" w:cs=""/>
                <w:kern w:val="0"/>
                <w:sz w:val="22"/>
                <w:szCs w:val="22"/>
                <w:highlight w:val="yellow"/>
                <w:lang w:val="de-DE" w:eastAsia="de-DE" w:bidi="ar-SA"/>
              </w:rPr>
              <w:t>15.04.2022</w:t>
            </w:r>
          </w:p>
          <w:p>
            <w:pPr>
              <w:pStyle w:val="Normal"/>
              <w:widowControl/>
              <w:spacing w:lineRule="auto" w:line="276" w:before="0" w:after="0"/>
              <w:rPr>
                <w:rFonts w:ascii="Myriad Pro" w:hAnsi="Myriad Pro"/>
              </w:rPr>
            </w:pPr>
            <w:r>
              <w:rPr>
                <w:rFonts w:eastAsia="" w:cs=""/>
                <w:kern w:val="0"/>
                <w:sz w:val="22"/>
                <w:szCs w:val="22"/>
                <w:lang w:val="de-DE" w:eastAsia="de-DE" w:bidi="ar-SA"/>
              </w:rPr>
              <w:t xml:space="preserve">Von: </w:t>
            </w:r>
            <w:r>
              <w:rPr>
                <w:rFonts w:eastAsia="" w:cs=""/>
                <w:kern w:val="0"/>
                <w:sz w:val="22"/>
                <w:szCs w:val="22"/>
                <w:lang w:val="de-DE" w:eastAsia="de-DE" w:bidi="ar-SA"/>
              </w:rPr>
              <w:t>Norman Walter</w:t>
            </w:r>
          </w:p>
        </w:tc>
        <w:tc>
          <w:tcPr>
            <w:tcW w:w="3070" w:type="dxa"/>
            <w:tcBorders/>
          </w:tcPr>
          <w:p>
            <w:pPr>
              <w:pStyle w:val="Normal"/>
              <w:widowControl/>
              <w:spacing w:lineRule="auto" w:line="276" w:before="120" w:after="0"/>
              <w:rPr>
                <w:rFonts w:ascii="Myriad Pro" w:hAnsi="Myriad Pro"/>
              </w:rPr>
            </w:pPr>
            <w:r>
              <w:rPr>
                <w:rFonts w:eastAsia="" w:cs=""/>
                <w:kern w:val="0"/>
                <w:sz w:val="22"/>
                <w:szCs w:val="22"/>
                <w:lang w:val="de-DE" w:eastAsia="de-DE" w:bidi="ar-SA"/>
              </w:rPr>
              <w:t xml:space="preserve">Am: </w:t>
            </w:r>
            <w:r>
              <w:rPr>
                <w:rFonts w:eastAsia="" w:cs=""/>
                <w:kern w:val="0"/>
                <w:sz w:val="22"/>
                <w:szCs w:val="22"/>
                <w:highlight w:val="yellow"/>
                <w:lang w:val="de-DE" w:eastAsia="de-DE" w:bidi="ar-SA"/>
              </w:rPr>
              <w:t>15.04.2022</w:t>
            </w:r>
          </w:p>
          <w:p>
            <w:pPr>
              <w:pStyle w:val="Normal"/>
              <w:widowControl/>
              <w:spacing w:lineRule="auto" w:line="276" w:before="0" w:after="0"/>
              <w:rPr>
                <w:rFonts w:ascii="Myriad Pro" w:hAnsi="Myriad Pro"/>
              </w:rPr>
            </w:pPr>
            <w:r>
              <w:rPr>
                <w:rFonts w:eastAsia="" w:cs=""/>
                <w:kern w:val="0"/>
                <w:sz w:val="22"/>
                <w:szCs w:val="22"/>
                <w:lang w:val="de-DE" w:eastAsia="de-DE" w:bidi="ar-SA"/>
              </w:rPr>
              <w:t xml:space="preserve">Von: </w:t>
            </w:r>
            <w:r>
              <w:rPr>
                <w:rFonts w:eastAsia="" w:cs=""/>
                <w:kern w:val="0"/>
                <w:sz w:val="22"/>
                <w:szCs w:val="22"/>
                <w:lang w:val="de-DE" w:eastAsia="de-DE" w:bidi="ar-SA"/>
              </w:rPr>
              <w:t>Markus Behnke</w:t>
            </w:r>
          </w:p>
        </w:tc>
        <w:tc>
          <w:tcPr>
            <w:tcW w:w="3071" w:type="dxa"/>
            <w:tcBorders/>
          </w:tcPr>
          <w:p>
            <w:pPr>
              <w:pStyle w:val="Normal"/>
              <w:widowControl/>
              <w:spacing w:lineRule="auto" w:line="276" w:before="120" w:after="0"/>
              <w:rPr>
                <w:rFonts w:ascii="Myriad Pro" w:hAnsi="Myriad Pro"/>
              </w:rPr>
            </w:pPr>
            <w:r>
              <w:rPr>
                <w:rFonts w:eastAsia="" w:cs=""/>
                <w:kern w:val="0"/>
                <w:sz w:val="22"/>
                <w:szCs w:val="22"/>
                <w:lang w:val="de-DE" w:eastAsia="de-DE" w:bidi="ar-SA"/>
              </w:rPr>
              <w:t xml:space="preserve">Am: </w:t>
            </w:r>
            <w:r>
              <w:rPr>
                <w:rFonts w:eastAsia="" w:cs=""/>
                <w:kern w:val="0"/>
                <w:sz w:val="22"/>
                <w:szCs w:val="22"/>
                <w:highlight w:val="yellow"/>
                <w:lang w:val="de-DE" w:eastAsia="de-DE" w:bidi="ar-SA"/>
              </w:rPr>
              <w:t>18.04.2022</w:t>
            </w:r>
          </w:p>
          <w:p>
            <w:pPr>
              <w:pStyle w:val="Normal"/>
              <w:widowControl/>
              <w:spacing w:lineRule="auto" w:line="276" w:before="0" w:after="0"/>
              <w:rPr>
                <w:rFonts w:ascii="Myriad Pro" w:hAnsi="Myriad Pro"/>
              </w:rPr>
            </w:pPr>
            <w:r>
              <w:rPr>
                <w:rFonts w:eastAsia="" w:cs=""/>
                <w:kern w:val="0"/>
                <w:sz w:val="22"/>
                <w:szCs w:val="22"/>
                <w:lang w:val="de-DE" w:eastAsia="de-DE" w:bidi="ar-SA"/>
              </w:rPr>
              <w:t>Von: Bernd Weinreich</w:t>
            </w:r>
          </w:p>
        </w:tc>
      </w:tr>
    </w:tbl>
    <w:p>
      <w:pPr>
        <w:pStyle w:val="Normal"/>
        <w:rPr>
          <w:rFonts w:ascii="Myriad Pro" w:hAnsi="Myriad Pro"/>
        </w:rPr>
      </w:pPr>
      <w:r>
        <w:rPr/>
      </w:r>
    </w:p>
    <w:p>
      <w:pPr>
        <w:pStyle w:val="Normal"/>
        <w:rPr>
          <w:rFonts w:ascii="Myriad Pro" w:hAnsi="Myriad Pro"/>
        </w:rPr>
      </w:pPr>
      <w:r>
        <w:rPr/>
      </w:r>
    </w:p>
    <w:p>
      <w:pPr>
        <w:pStyle w:val="Normal"/>
        <w:rPr>
          <w:rFonts w:ascii="Myriad Pro" w:hAnsi="Myriad Pro"/>
        </w:rPr>
      </w:pPr>
      <w:r>
        <w:rPr/>
      </w:r>
      <w:r>
        <w:br w:type="page"/>
      </w:r>
    </w:p>
    <w:p>
      <w:pPr>
        <w:pStyle w:val="Berschrift1"/>
        <w:rPr>
          <w:rFonts w:eastAsia="Times New Roman"/>
          <w:lang w:eastAsia="ar-SA"/>
        </w:rPr>
      </w:pPr>
      <w:bookmarkStart w:id="0" w:name="_Toc449357464"/>
      <w:r>
        <w:rPr>
          <w:rFonts w:eastAsia="Times New Roman"/>
          <w:lang w:eastAsia="ar-SA"/>
        </w:rPr>
        <w:t>1. Zweck</w:t>
      </w:r>
      <w:bookmarkEnd w:id="0"/>
    </w:p>
    <w:p>
      <w:pPr>
        <w:pStyle w:val="Normal"/>
        <w:suppressAutoHyphens w:val="true"/>
        <w:rPr>
          <w:rFonts w:ascii="Myriad Pro" w:hAnsi="Myriad Pro" w:eastAsia="Myriad Pro" w:cs="Myriad Pro"/>
          <w:lang w:eastAsia="ar-SA"/>
        </w:rPr>
      </w:pPr>
      <w:r>
        <w:rPr>
          <w:rFonts w:eastAsia="Myriad Pro" w:cs="Myriad Pro"/>
          <w:lang w:eastAsia="ar-SA"/>
        </w:rPr>
        <w:t>Die vorliegende VA beschreibt die Umsetzung normativer Forderungen hinsichtlich der bereitzustellenden Ressourcen, im Speziellen Themen, die sich beziehen auf:</w:t>
      </w:r>
    </w:p>
    <w:p>
      <w:pPr>
        <w:pStyle w:val="ListParagraph"/>
        <w:numPr>
          <w:ilvl w:val="0"/>
          <w:numId w:val="4"/>
        </w:numPr>
        <w:spacing w:before="0" w:after="0"/>
        <w:ind w:left="714" w:hanging="357"/>
        <w:rPr/>
      </w:pPr>
      <w:r>
        <w:rPr/>
        <w:t>Personen</w:t>
      </w:r>
    </w:p>
    <w:p>
      <w:pPr>
        <w:pStyle w:val="ListParagraph"/>
        <w:numPr>
          <w:ilvl w:val="0"/>
          <w:numId w:val="4"/>
        </w:numPr>
        <w:spacing w:before="0" w:after="0"/>
        <w:ind w:left="714" w:hanging="357"/>
        <w:rPr/>
      </w:pPr>
      <w:r>
        <w:rPr/>
        <w:t>Wissen der Organisation</w:t>
      </w:r>
    </w:p>
    <w:p>
      <w:pPr>
        <w:pStyle w:val="ListParagraph"/>
        <w:numPr>
          <w:ilvl w:val="0"/>
          <w:numId w:val="4"/>
        </w:numPr>
        <w:spacing w:before="0" w:after="0"/>
        <w:ind w:left="714" w:hanging="357"/>
        <w:rPr/>
      </w:pPr>
      <w:r>
        <w:rPr/>
        <w:t>Kompetenz</w:t>
      </w:r>
    </w:p>
    <w:p>
      <w:pPr>
        <w:pStyle w:val="ListParagraph"/>
        <w:numPr>
          <w:ilvl w:val="0"/>
          <w:numId w:val="4"/>
        </w:numPr>
        <w:spacing w:before="0" w:after="0"/>
        <w:ind w:left="714" w:hanging="357"/>
        <w:rPr/>
      </w:pPr>
      <w:r>
        <w:rPr/>
        <w:t>Bewusstsein und</w:t>
      </w:r>
    </w:p>
    <w:p>
      <w:pPr>
        <w:pStyle w:val="ListParagraph"/>
        <w:numPr>
          <w:ilvl w:val="0"/>
          <w:numId w:val="4"/>
        </w:numPr>
        <w:spacing w:before="0" w:after="0"/>
        <w:ind w:left="714" w:hanging="357"/>
        <w:rPr/>
      </w:pPr>
      <w:r>
        <w:rPr/>
        <w:t>Kommunikation.</w:t>
      </w:r>
    </w:p>
    <w:p>
      <w:pPr>
        <w:pStyle w:val="Berschrift1"/>
        <w:rPr>
          <w:rFonts w:eastAsia="Myriad Pro"/>
          <w:lang w:eastAsia="ar-SA"/>
        </w:rPr>
      </w:pPr>
      <w:bookmarkStart w:id="1" w:name="_Toc449357465"/>
      <w:r>
        <w:rPr>
          <w:rFonts w:eastAsia="Myriad Pro"/>
          <w:lang w:eastAsia="ar-SA"/>
        </w:rPr>
        <w:t>2. Geltungsbereich</w:t>
      </w:r>
      <w:bookmarkEnd w:id="1"/>
    </w:p>
    <w:p>
      <w:pPr>
        <w:pStyle w:val="Normal"/>
        <w:tabs>
          <w:tab w:val="clear" w:pos="708"/>
          <w:tab w:val="left" w:pos="6521" w:leader="none"/>
        </w:tabs>
        <w:rPr>
          <w:rFonts w:ascii="MyriadPro-Regular" w:hAnsi="MyriadPro-Regular" w:cs="MyriadPro-Regular"/>
          <w:color w:val="000000"/>
        </w:rPr>
      </w:pPr>
      <w:r>
        <w:rPr>
          <w:rFonts w:cs="MyriadPro-Regular" w:ascii="MyriadPro-Regular" w:hAnsi="MyriadPro-Regular"/>
          <w:color w:val="000000"/>
        </w:rPr>
        <w:t xml:space="preserve">Der Geltungsbereich erstreckt sich auf die </w:t>
      </w:r>
      <w:r>
        <w:rPr>
          <w:rFonts w:cs="MyriadPro-Regular" w:ascii="MyriadPro-Regular" w:hAnsi="MyriadPro-Regular"/>
          <w:i/>
          <w:color w:val="000000"/>
        </w:rPr>
        <w:t>waggon24.</w:t>
      </w:r>
    </w:p>
    <w:p>
      <w:pPr>
        <w:pStyle w:val="Berschrift1"/>
        <w:rPr>
          <w:rFonts w:eastAsia="Myriad Pro"/>
          <w:lang w:eastAsia="ar-SA"/>
        </w:rPr>
      </w:pPr>
      <w:bookmarkStart w:id="2" w:name="_Toc449357466"/>
      <w:r>
        <w:rPr>
          <w:rFonts w:eastAsia="Myriad Pro"/>
          <w:lang w:eastAsia="ar-SA"/>
        </w:rPr>
        <w:t>3. Verantwortlichkeiten</w:t>
      </w:r>
      <w:bookmarkEnd w:id="2"/>
    </w:p>
    <w:tbl>
      <w:tblPr>
        <w:tblStyle w:val="Tabellenraster"/>
        <w:tblW w:w="92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538"/>
        <w:gridCol w:w="924"/>
        <w:gridCol w:w="924"/>
        <w:gridCol w:w="922"/>
        <w:gridCol w:w="925"/>
      </w:tblGrid>
      <w:tr>
        <w:trPr/>
        <w:tc>
          <w:tcPr>
            <w:tcW w:w="5538" w:type="dxa"/>
            <w:vMerge w:val="restart"/>
            <w:tcBorders>
              <w:top w:val="double" w:sz="4"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0" w:after="0"/>
              <w:rPr>
                <w:rFonts w:ascii="MyriadPro-Regular" w:hAnsi="MyriadPro-Regular" w:cs="MyriadPro-Regular"/>
                <w:b/>
                <w:b/>
                <w:color w:val="000000"/>
              </w:rPr>
            </w:pPr>
            <w:r>
              <w:rPr>
                <w:rFonts w:eastAsia="" w:cs="MyriadPro-Regular" w:ascii="MyriadPro-Regular" w:hAnsi="MyriadPro-Regular"/>
                <w:b/>
                <w:color w:val="000000"/>
                <w:kern w:val="0"/>
                <w:sz w:val="22"/>
                <w:szCs w:val="22"/>
                <w:lang w:val="de-DE" w:eastAsia="de-DE" w:bidi="ar-SA"/>
              </w:rPr>
              <w:t>Aufgaben</w:t>
            </w:r>
          </w:p>
        </w:tc>
        <w:tc>
          <w:tcPr>
            <w:tcW w:w="3695" w:type="dxa"/>
            <w:gridSpan w:val="4"/>
            <w:tcBorders>
              <w:top w:val="double" w:sz="4" w:space="0" w:color="000000"/>
              <w:left w:val="single" w:sz="6" w:space="0" w:color="000000"/>
              <w:bottom w:val="single" w:sz="6" w:space="0" w:color="000000"/>
              <w:right w:val="double" w:sz="4" w:space="0" w:color="000000"/>
            </w:tcBorders>
          </w:tcPr>
          <w:p>
            <w:pPr>
              <w:pStyle w:val="Normal"/>
              <w:widowControl/>
              <w:tabs>
                <w:tab w:val="clear" w:pos="708"/>
                <w:tab w:val="left" w:pos="6521" w:leader="none"/>
              </w:tabs>
              <w:spacing w:lineRule="auto" w:line="240" w:before="0" w:after="0"/>
              <w:jc w:val="center"/>
              <w:rPr>
                <w:rFonts w:ascii="MyriadPro-Regular" w:hAnsi="MyriadPro-Regular" w:cs="MyriadPro-Regular"/>
                <w:b/>
                <w:b/>
                <w:color w:val="000000"/>
              </w:rPr>
            </w:pPr>
            <w:r>
              <w:rPr>
                <w:rFonts w:eastAsia="" w:cs="MyriadPro-Regular" w:ascii="MyriadPro-Regular" w:hAnsi="MyriadPro-Regular"/>
                <w:b/>
                <w:color w:val="000000"/>
                <w:kern w:val="0"/>
                <w:sz w:val="22"/>
                <w:szCs w:val="22"/>
                <w:lang w:val="de-DE" w:eastAsia="de-DE" w:bidi="ar-SA"/>
              </w:rPr>
              <w:t>Verantwortung</w:t>
            </w:r>
          </w:p>
        </w:tc>
      </w:tr>
      <w:tr>
        <w:trPr/>
        <w:tc>
          <w:tcPr>
            <w:tcW w:w="5538" w:type="dxa"/>
            <w:vMerge w:val="continue"/>
            <w:tcBorders>
              <w:top w:val="single" w:sz="6" w:space="0" w:color="000000"/>
              <w:left w:val="double" w:sz="4" w:space="0" w:color="000000"/>
              <w:bottom w:val="single" w:sz="6" w:space="0" w:color="000000"/>
              <w:right w:val="single" w:sz="6" w:space="0" w:color="000000"/>
            </w:tcBorders>
          </w:tcPr>
          <w:p>
            <w:pPr>
              <w:pStyle w:val="Normal"/>
              <w:widowControl/>
              <w:tabs>
                <w:tab w:val="clear" w:pos="708"/>
                <w:tab w:val="left" w:pos="6521" w:leader="none"/>
              </w:tabs>
              <w:spacing w:lineRule="auto" w:line="240" w:before="0" w:after="0"/>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r>
          </w:p>
        </w:tc>
        <w:tc>
          <w:tcPr>
            <w:tcW w:w="924" w:type="dxa"/>
            <w:tcBorders>
              <w:top w:val="single" w:sz="6" w:space="0" w:color="000000"/>
              <w:left w:val="single" w:sz="6" w:space="0" w:color="000000"/>
              <w:bottom w:val="single" w:sz="6" w:space="0" w:color="000000"/>
              <w:right w:val="single" w:sz="6" w:space="0" w:color="000000"/>
            </w:tcBorders>
          </w:tcPr>
          <w:p>
            <w:pPr>
              <w:pStyle w:val="Normal"/>
              <w:widowControl/>
              <w:tabs>
                <w:tab w:val="clear" w:pos="708"/>
                <w:tab w:val="left" w:pos="6521" w:leader="none"/>
              </w:tabs>
              <w:spacing w:lineRule="auto" w:line="240" w:before="0" w:after="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GF</w:t>
            </w:r>
          </w:p>
        </w:tc>
        <w:tc>
          <w:tcPr>
            <w:tcW w:w="924" w:type="dxa"/>
            <w:tcBorders>
              <w:top w:val="single" w:sz="6" w:space="0" w:color="000000"/>
              <w:left w:val="single" w:sz="6" w:space="0" w:color="000000"/>
              <w:bottom w:val="single" w:sz="6" w:space="0" w:color="000000"/>
              <w:right w:val="single" w:sz="6" w:space="0" w:color="000000"/>
            </w:tcBorders>
          </w:tcPr>
          <w:p>
            <w:pPr>
              <w:pStyle w:val="Normal"/>
              <w:widowControl/>
              <w:tabs>
                <w:tab w:val="clear" w:pos="708"/>
                <w:tab w:val="left" w:pos="6521" w:leader="none"/>
              </w:tabs>
              <w:spacing w:lineRule="auto" w:line="240" w:before="0" w:after="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QMB</w:t>
            </w:r>
          </w:p>
        </w:tc>
        <w:tc>
          <w:tcPr>
            <w:tcW w:w="922" w:type="dxa"/>
            <w:tcBorders>
              <w:top w:val="single" w:sz="6" w:space="0" w:color="000000"/>
              <w:left w:val="single" w:sz="6" w:space="0" w:color="000000"/>
              <w:bottom w:val="single" w:sz="6" w:space="0" w:color="000000"/>
              <w:right w:val="single" w:sz="6" w:space="0" w:color="000000"/>
            </w:tcBorders>
          </w:tcPr>
          <w:p>
            <w:pPr>
              <w:pStyle w:val="Normal"/>
              <w:widowControl/>
              <w:tabs>
                <w:tab w:val="clear" w:pos="708"/>
                <w:tab w:val="left" w:pos="6521" w:leader="none"/>
              </w:tabs>
              <w:spacing w:lineRule="auto" w:line="240" w:before="0" w:after="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A&amp;Q</w:t>
            </w:r>
          </w:p>
        </w:tc>
        <w:tc>
          <w:tcPr>
            <w:tcW w:w="925" w:type="dxa"/>
            <w:tcBorders>
              <w:top w:val="single" w:sz="6" w:space="0" w:color="000000"/>
              <w:left w:val="single" w:sz="6" w:space="0" w:color="000000"/>
              <w:bottom w:val="single" w:sz="6" w:space="0" w:color="000000"/>
              <w:right w:val="double" w:sz="4" w:space="0" w:color="000000"/>
            </w:tcBorders>
          </w:tcPr>
          <w:p>
            <w:pPr>
              <w:pStyle w:val="Normal"/>
              <w:widowControl/>
              <w:tabs>
                <w:tab w:val="clear" w:pos="708"/>
                <w:tab w:val="left" w:pos="6521" w:leader="none"/>
              </w:tabs>
              <w:spacing w:lineRule="auto" w:line="240" w:before="0" w:after="0"/>
              <w:jc w:val="center"/>
              <w:rPr>
                <w:rFonts w:ascii="MyriadPro-Regular" w:hAnsi="MyriadPro-Regular" w:cs="MyriadPro-Regular"/>
                <w:color w:val="000000"/>
              </w:rPr>
            </w:pPr>
            <w:r>
              <w:rPr>
                <w:rFonts w:eastAsia="" w:cs="MyriadPro-Regular" w:ascii="MyriadPro-Regular" w:hAnsi="MyriadPro-Regular"/>
                <w:color w:val="000000"/>
                <w:kern w:val="0"/>
                <w:sz w:val="22"/>
                <w:szCs w:val="22"/>
                <w:highlight w:val="yellow"/>
                <w:lang w:val="de-DE" w:eastAsia="de-DE" w:bidi="ar-SA"/>
              </w:rPr>
              <w:t>LIH</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Ermittlung des Erweiterungs-/Ersatzbedarfs an Personen</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Umsetzung des Einstellungsverfahrens</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Pro-Regular" w:hAnsi="MyriadPro-Regular" w:cs="MyriadPro-Regular"/>
                <w:color w:val="000000"/>
              </w:rPr>
            </w:pPr>
            <w:r>
              <w:rPr>
                <w:rFonts w:eastAsia=""/>
                <w:kern w:val="0"/>
                <w:sz w:val="22"/>
                <w:szCs w:val="22"/>
                <w:lang w:val="de-DE" w:eastAsia="de-DE" w:bidi="ar-SA"/>
              </w:rPr>
              <w:t>Erarbeitung des Anforderungsprofils</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 Pro" w:hAnsi="Myriad Pro" w:eastAsia="" w:cs=""/>
                <w:kern w:val="0"/>
                <w:sz w:val="22"/>
                <w:szCs w:val="22"/>
                <w:lang w:val="de-DE" w:eastAsia="de-DE" w:bidi="ar-SA"/>
              </w:rPr>
            </w:pPr>
            <w:r>
              <w:rPr>
                <w:rFonts w:eastAsia="" w:cs=""/>
                <w:kern w:val="0"/>
                <w:sz w:val="22"/>
                <w:szCs w:val="22"/>
                <w:lang w:val="de-DE" w:eastAsia="de-DE" w:bidi="ar-SA"/>
              </w:rPr>
              <w:t>Pflege der Aufgabenmatrix</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 Pro" w:hAnsi="Myriad Pro" w:eastAsia="" w:cs=""/>
                <w:kern w:val="0"/>
                <w:sz w:val="22"/>
                <w:szCs w:val="22"/>
                <w:lang w:val="de-DE" w:eastAsia="de-DE" w:bidi="ar-SA"/>
              </w:rPr>
            </w:pPr>
            <w:r>
              <w:rPr>
                <w:rFonts w:eastAsia="" w:cs=""/>
                <w:kern w:val="0"/>
                <w:sz w:val="22"/>
                <w:szCs w:val="22"/>
                <w:lang w:val="de-DE" w:eastAsia="de-DE" w:bidi="ar-SA"/>
              </w:rPr>
              <w:t>Bestimmung des erforderlichen Wissens der Organisation</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Pro-Regular" w:hAnsi="MyriadPro-Regular" w:cs="MyriadPro-Regular"/>
                <w:color w:val="000000"/>
              </w:rPr>
            </w:pPr>
            <w:r>
              <w:rPr>
                <w:rFonts w:eastAsia=""/>
                <w:kern w:val="0"/>
                <w:sz w:val="22"/>
                <w:szCs w:val="22"/>
                <w:lang w:val="de-DE" w:eastAsia="de-DE" w:bidi="ar-SA"/>
              </w:rPr>
              <w:t>Ermittlung des Ausbildungs- und Schulungsbedarfs</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 Pro" w:hAnsi="Myriad Pro" w:eastAsia="" w:cs=""/>
                <w:kern w:val="0"/>
                <w:sz w:val="22"/>
                <w:szCs w:val="22"/>
                <w:lang w:val="de-DE" w:eastAsia="de-DE" w:bidi="ar-SA"/>
              </w:rPr>
            </w:pPr>
            <w:r>
              <w:rPr>
                <w:rFonts w:eastAsia="" w:cs=""/>
                <w:kern w:val="0"/>
                <w:sz w:val="22"/>
                <w:szCs w:val="22"/>
                <w:lang w:val="de-DE" w:eastAsia="de-DE" w:bidi="ar-SA"/>
              </w:rPr>
              <w:t>Überwachung der Qualifikationsübersicht</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 Pro" w:hAnsi="Myriad Pro" w:eastAsia="" w:cs=""/>
                <w:kern w:val="0"/>
                <w:sz w:val="22"/>
                <w:szCs w:val="22"/>
                <w:lang w:val="de-DE" w:eastAsia="de-DE" w:bidi="ar-SA"/>
              </w:rPr>
            </w:pPr>
            <w:r>
              <w:rPr>
                <w:rFonts w:eastAsia="" w:cs=""/>
                <w:kern w:val="0"/>
                <w:sz w:val="22"/>
                <w:szCs w:val="22"/>
                <w:lang w:val="de-DE" w:eastAsia="de-DE" w:bidi="ar-SA"/>
              </w:rPr>
              <w:t>Überwachung der Vorsorgeübersicht</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Pro-Regular" w:hAnsi="MyriadPro-Regular" w:cs="MyriadPro-Regular"/>
                <w:color w:val="000000"/>
              </w:rPr>
            </w:pPr>
            <w:r>
              <w:rPr>
                <w:rFonts w:eastAsia=""/>
                <w:kern w:val="0"/>
                <w:sz w:val="22"/>
                <w:szCs w:val="22"/>
                <w:lang w:val="de-DE" w:eastAsia="de-DE" w:bidi="ar-SA"/>
              </w:rPr>
              <w:t>Planung, Durchführung und Dokumentation von Ausbildungs- und Schulungsmaßnahmen, Unterweisungen</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 Pro" w:hAnsi="Myriad Pro" w:eastAsia="" w:cs=""/>
                <w:kern w:val="0"/>
                <w:sz w:val="22"/>
                <w:szCs w:val="22"/>
                <w:lang w:val="de-DE" w:eastAsia="de-DE" w:bidi="ar-SA"/>
              </w:rPr>
            </w:pPr>
            <w:r>
              <w:rPr>
                <w:rFonts w:eastAsia="" w:cs=""/>
                <w:kern w:val="0"/>
                <w:sz w:val="22"/>
                <w:szCs w:val="22"/>
                <w:lang w:val="de-DE" w:eastAsia="de-DE" w:bidi="ar-SA"/>
              </w:rPr>
              <w:t>Überprüfung der Wirksamkeit von Maßnahmen</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r>
      <w:tr>
        <w:trPr/>
        <w:tc>
          <w:tcPr>
            <w:tcW w:w="5538" w:type="dxa"/>
            <w:tcBorders>
              <w:top w:val="single" w:sz="6" w:space="0" w:color="000000"/>
              <w:left w:val="double" w:sz="4"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left"/>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Vermittlung der Unternehmenspolitik, von Managementzielen, Vorteilen einer verbesserten Leistung und Folgen der Nichterfüllung von Anforderungen des QMS</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5" w:type="dxa"/>
            <w:tcBorders>
              <w:top w:val="single" w:sz="6" w:space="0" w:color="000000"/>
              <w:left w:val="single" w:sz="6" w:space="0" w:color="000000"/>
              <w:bottom w:val="single" w:sz="6"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MI</w:t>
            </w:r>
          </w:p>
        </w:tc>
      </w:tr>
      <w:tr>
        <w:trPr>
          <w:trHeight w:val="624" w:hRule="atLeast"/>
        </w:trPr>
        <w:tc>
          <w:tcPr>
            <w:tcW w:w="5538" w:type="dxa"/>
            <w:tcBorders>
              <w:top w:val="single" w:sz="6" w:space="0" w:color="000000"/>
              <w:left w:val="double" w:sz="4" w:space="0" w:color="000000"/>
              <w:bottom w:val="double" w:sz="4" w:space="0" w:color="000000"/>
              <w:right w:val="single" w:sz="6" w:space="0" w:color="000000"/>
            </w:tcBorders>
            <w:vAlign w:val="center"/>
          </w:tcPr>
          <w:p>
            <w:pPr>
              <w:pStyle w:val="NoSpacing"/>
              <w:widowControl/>
              <w:spacing w:before="60" w:after="60"/>
              <w:jc w:val="left"/>
              <w:rPr>
                <w:rFonts w:ascii="Myriad Pro" w:hAnsi="Myriad Pro" w:eastAsia="" w:cs=""/>
                <w:kern w:val="0"/>
                <w:sz w:val="22"/>
                <w:szCs w:val="22"/>
                <w:lang w:val="de-DE" w:eastAsia="de-DE" w:bidi="ar-SA"/>
              </w:rPr>
            </w:pPr>
            <w:r>
              <w:rPr>
                <w:rFonts w:eastAsia="" w:cs=""/>
                <w:kern w:val="0"/>
                <w:sz w:val="22"/>
                <w:szCs w:val="22"/>
                <w:lang w:val="de-DE" w:eastAsia="de-DE" w:bidi="ar-SA"/>
              </w:rPr>
              <w:t>Festlegung zur Kommunikation</w:t>
            </w:r>
          </w:p>
        </w:tc>
        <w:tc>
          <w:tcPr>
            <w:tcW w:w="924" w:type="dxa"/>
            <w:tcBorders>
              <w:top w:val="single" w:sz="6" w:space="0" w:color="000000"/>
              <w:left w:val="single" w:sz="6" w:space="0" w:color="000000"/>
              <w:bottom w:val="double" w:sz="4"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D</w:t>
            </w:r>
          </w:p>
        </w:tc>
        <w:tc>
          <w:tcPr>
            <w:tcW w:w="924" w:type="dxa"/>
            <w:tcBorders>
              <w:top w:val="single" w:sz="6" w:space="0" w:color="000000"/>
              <w:left w:val="single" w:sz="6" w:space="0" w:color="000000"/>
              <w:bottom w:val="double" w:sz="4"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c>
          <w:tcPr>
            <w:tcW w:w="922" w:type="dxa"/>
            <w:tcBorders>
              <w:top w:val="single" w:sz="6" w:space="0" w:color="000000"/>
              <w:left w:val="single" w:sz="6" w:space="0" w:color="000000"/>
              <w:bottom w:val="double" w:sz="4" w:space="0" w:color="000000"/>
              <w:right w:val="single" w:sz="6"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I</w:t>
            </w:r>
          </w:p>
        </w:tc>
        <w:tc>
          <w:tcPr>
            <w:tcW w:w="925" w:type="dxa"/>
            <w:tcBorders>
              <w:top w:val="single" w:sz="6" w:space="0" w:color="000000"/>
              <w:left w:val="single" w:sz="6" w:space="0" w:color="000000"/>
              <w:bottom w:val="double" w:sz="4" w:space="0" w:color="000000"/>
              <w:right w:val="double" w:sz="4" w:space="0" w:color="000000"/>
            </w:tcBorders>
            <w:vAlign w:val="center"/>
          </w:tcPr>
          <w:p>
            <w:pPr>
              <w:pStyle w:val="Normal"/>
              <w:widowControl/>
              <w:tabs>
                <w:tab w:val="clear" w:pos="708"/>
                <w:tab w:val="left" w:pos="6521" w:leader="none"/>
              </w:tabs>
              <w:spacing w:lineRule="auto" w:line="240" w:before="60" w:after="60"/>
              <w:jc w:val="center"/>
              <w:rPr>
                <w:rFonts w:ascii="MyriadPro-Regular" w:hAnsi="MyriadPro-Regular" w:cs="MyriadPro-Regular"/>
                <w:color w:val="000000"/>
              </w:rPr>
            </w:pPr>
            <w:r>
              <w:rPr>
                <w:rFonts w:eastAsia="" w:cs="MyriadPro-Regular" w:ascii="MyriadPro-Regular" w:hAnsi="MyriadPro-Regular"/>
                <w:color w:val="000000"/>
                <w:kern w:val="0"/>
                <w:sz w:val="22"/>
                <w:szCs w:val="22"/>
                <w:lang w:val="de-DE" w:eastAsia="de-DE" w:bidi="ar-SA"/>
              </w:rPr>
              <w:t>M</w:t>
            </w:r>
          </w:p>
        </w:tc>
      </w:tr>
    </w:tbl>
    <w:p>
      <w:pPr>
        <w:pStyle w:val="Normal"/>
        <w:tabs>
          <w:tab w:val="clear" w:pos="708"/>
          <w:tab w:val="left" w:pos="6521" w:leader="none"/>
        </w:tabs>
        <w:jc w:val="center"/>
        <w:rPr>
          <w:rFonts w:ascii="MyriadPro-Regular" w:hAnsi="MyriadPro-Regular" w:cs="MyriadPro-Regular"/>
          <w:color w:val="000000"/>
        </w:rPr>
      </w:pPr>
      <w:r>
        <w:rPr>
          <w:rFonts w:cs="MyriadPro-Regular" w:ascii="MyriadPro-Regular" w:hAnsi="MyriadPro-Regular"/>
          <w:color w:val="000000"/>
        </w:rPr>
        <w:t>D = Durchführungsverantwortung     I = Information     M = Mitwirkung</w:t>
      </w:r>
    </w:p>
    <w:p>
      <w:pPr>
        <w:pStyle w:val="Berschrift1"/>
        <w:rPr>
          <w:rFonts w:eastAsia="Myriad Pro"/>
          <w:lang w:eastAsia="ar-SA"/>
        </w:rPr>
      </w:pPr>
      <w:bookmarkStart w:id="3" w:name="_Toc449357467"/>
      <w:r>
        <w:rPr>
          <w:rFonts w:eastAsia="Myriad Pro"/>
          <w:lang w:eastAsia="ar-SA"/>
        </w:rPr>
        <w:t>4. Beschreibung</w:t>
      </w:r>
      <w:bookmarkEnd w:id="3"/>
    </w:p>
    <w:p>
      <w:pPr>
        <w:pStyle w:val="Berschrift2"/>
        <w:rPr>
          <w:rFonts w:eastAsia="Myriad Pro"/>
          <w:lang w:eastAsia="ar-SA"/>
        </w:rPr>
      </w:pPr>
      <w:bookmarkStart w:id="4" w:name="_Toc449357468"/>
      <w:r>
        <w:rPr>
          <w:rFonts w:eastAsia="Myriad Pro"/>
          <w:lang w:eastAsia="ar-SA"/>
        </w:rPr>
        <w:t>4.1 Personen</w:t>
      </w:r>
      <w:bookmarkEnd w:id="4"/>
    </w:p>
    <w:p>
      <w:pPr>
        <w:pStyle w:val="Normal"/>
        <w:rPr>
          <w:lang w:eastAsia="ar-SA"/>
        </w:rPr>
      </w:pPr>
      <w:r>
        <w:rPr>
          <w:lang w:eastAsia="ar-SA"/>
        </w:rPr>
        <w:t xml:space="preserve">Die Disziplinarverantwortung liegt in den Unternehmen beim Geschäftsführer. Sie wird über die Organigramme und bestehende Stellenbeschreibungen abgebildet. </w:t>
      </w:r>
    </w:p>
    <w:p>
      <w:pPr>
        <w:pStyle w:val="Normal"/>
        <w:rPr/>
      </w:pPr>
      <w:r>
        <w:rPr>
          <w:lang w:eastAsia="ar-SA"/>
        </w:rPr>
        <w:t xml:space="preserve">Durch die GL werden die </w:t>
      </w:r>
      <w:r>
        <w:rPr/>
        <w:t xml:space="preserve">Personen bestimmt und bereitgestellt, die für die wirksame Umsetzung ihres Qualitätsmanagementsystems und für das Betreiben und Steuern seiner Prozesse notwendig sind. </w:t>
      </w:r>
    </w:p>
    <w:p>
      <w:pPr>
        <w:pStyle w:val="Normal"/>
        <w:rPr/>
      </w:pPr>
      <w:r>
        <w:rPr/>
        <w:t>Der Besonderheit der Tätigkeit im Eisenbahnbetrieb wird durch die Durchführung der Vorsorgeuntersuchung der betreffenden Personen Rechnung getragen. Es werden nur Mitarbeiter im Gleisbereich eingesetzt, die die entsprechende Vorsorgeuntersuchung erfolgreich bestanden haben.</w:t>
      </w:r>
    </w:p>
    <w:p>
      <w:pPr>
        <w:pStyle w:val="Normal"/>
        <w:rPr/>
      </w:pPr>
      <w:r>
        <w:rPr/>
        <w:t xml:space="preserve">Der Teilprozess „Personal“ ist für das Hauptbetätigungsfeld der </w:t>
      </w:r>
      <w:r>
        <w:rPr>
          <w:i/>
        </w:rPr>
        <w:t>waggon24</w:t>
      </w:r>
      <w:r>
        <w:rPr/>
        <w:t xml:space="preserve"> als Prozessdarstellung in der Anlage enthalten. </w:t>
      </w:r>
    </w:p>
    <w:p>
      <w:pPr>
        <w:pStyle w:val="Normal"/>
        <w:rPr/>
      </w:pPr>
      <w:r>
        <w:rPr/>
        <w:t xml:space="preserve">Zur Planung, Erfassung und Abrechnung von Arbeits- und Wegezeit für den mobilen Service besteht die Betriebliche Regelung 01/2014 der </w:t>
      </w:r>
      <w:r>
        <w:rPr>
          <w:i/>
        </w:rPr>
        <w:t>waggon24</w:t>
      </w:r>
      <w:r>
        <w:rPr/>
        <w:t>.</w:t>
      </w:r>
    </w:p>
    <w:p>
      <w:pPr>
        <w:pStyle w:val="Normal"/>
        <w:rPr/>
      </w:pPr>
      <w:r>
        <w:rPr/>
        <w:t xml:space="preserve">Planung, Erfassung und Abrechnung von Arbeits- und Wegezeit für Personen, die nicht im mobilen Service tätig sind, erfolgt entsprechend Betrieblicher Regelung 03/2014 der </w:t>
      </w:r>
      <w:r>
        <w:rPr>
          <w:i/>
        </w:rPr>
        <w:t>waggon24</w:t>
      </w:r>
      <w:r>
        <w:rPr/>
        <w:t>.</w:t>
      </w:r>
    </w:p>
    <w:p>
      <w:pPr>
        <w:pStyle w:val="Berschrift2"/>
        <w:rPr>
          <w:rFonts w:eastAsia="Myriad Pro"/>
          <w:lang w:eastAsia="ar-SA"/>
        </w:rPr>
      </w:pPr>
      <w:bookmarkStart w:id="5" w:name="_Toc449357469"/>
      <w:r>
        <w:rPr>
          <w:rFonts w:eastAsia="Myriad Pro"/>
          <w:lang w:eastAsia="ar-SA"/>
        </w:rPr>
        <w:t>4.2 Wissen der Organisation und Kompetenz</w:t>
      </w:r>
      <w:bookmarkEnd w:id="5"/>
    </w:p>
    <w:p>
      <w:pPr>
        <w:pStyle w:val="Normal"/>
        <w:rPr/>
      </w:pPr>
      <w:r>
        <w:rPr/>
        <w:t xml:space="preserve">Die GL der Unternehmen bestimmen das Wissen, das benötigt wird, um die erforderlichen Prozesse durchzuführen und um die Konformität unserer Dienstleistungen zu erreichen. Im Umgang mit sich ändernden Erfordernissen und Entwicklungstendenzen wird unter Berücksichtigung des momentanen Wissens bestimmt, auf welche Weise jegliches notwendige Zusatzwissen und erforderliche Aktualisierungen erlangt oder darauf zugegriffen werden kann. </w:t>
      </w:r>
    </w:p>
    <w:p>
      <w:pPr>
        <w:pStyle w:val="Normal"/>
        <w:rPr/>
      </w:pPr>
      <w:r>
        <w:rPr/>
        <w:t>Entscheidend für die Bestimmung des notwendigen Wissens ist das Spektrum der Dienstleistungen der Unternehmen entsprechend folgender Übersicht:</w:t>
      </w:r>
    </w:p>
    <w:tbl>
      <w:tblPr>
        <w:tblStyle w:val="Tabellenraster"/>
        <w:tblW w:w="395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955"/>
      </w:tblGrid>
      <w:tr>
        <w:trPr/>
        <w:tc>
          <w:tcPr>
            <w:tcW w:w="3955" w:type="dxa"/>
            <w:tcBorders/>
            <w:vAlign w:val="center"/>
          </w:tcPr>
          <w:p>
            <w:pPr>
              <w:pStyle w:val="Normal"/>
              <w:widowControl/>
              <w:spacing w:lineRule="auto" w:line="240" w:before="0" w:after="0"/>
              <w:jc w:val="center"/>
              <w:rPr>
                <w:b/>
                <w:b/>
                <w:i/>
                <w:i/>
              </w:rPr>
            </w:pPr>
            <w:r>
              <w:rPr>
                <w:rFonts w:eastAsia="" w:cs=""/>
                <w:b/>
                <w:i/>
                <w:kern w:val="0"/>
                <w:sz w:val="22"/>
                <w:szCs w:val="22"/>
                <w:lang w:val="de-DE" w:eastAsia="de-DE" w:bidi="ar-SA"/>
              </w:rPr>
              <w:t>waggon24</w:t>
            </w:r>
          </w:p>
        </w:tc>
      </w:tr>
      <w:tr>
        <w:trPr/>
        <w:tc>
          <w:tcPr>
            <w:tcW w:w="3955" w:type="dxa"/>
            <w:tcBorders/>
          </w:tcPr>
          <w:p>
            <w:pPr>
              <w:pStyle w:val="Normal"/>
              <w:widowControl/>
              <w:spacing w:lineRule="auto" w:line="240" w:before="0" w:after="0"/>
              <w:rPr>
                <w:rFonts w:ascii="Myriad Pro" w:hAnsi="Myriad Pro" w:eastAsia="" w:cs=""/>
                <w:kern w:val="0"/>
                <w:sz w:val="22"/>
                <w:szCs w:val="22"/>
                <w:lang w:val="de-DE" w:eastAsia="de-DE" w:bidi="ar-SA"/>
              </w:rPr>
            </w:pPr>
            <w:r>
              <w:rPr>
                <w:rFonts w:eastAsia="" w:cs=""/>
                <w:kern w:val="0"/>
                <w:sz w:val="22"/>
                <w:szCs w:val="22"/>
                <w:lang w:val="de-DE" w:eastAsia="de-DE" w:bidi="ar-SA"/>
              </w:rPr>
              <w:t>Instandhaltungsstelle (ECM)</w:t>
            </w:r>
          </w:p>
        </w:tc>
      </w:tr>
      <w:tr>
        <w:trPr/>
        <w:tc>
          <w:tcPr>
            <w:tcW w:w="3955" w:type="dxa"/>
            <w:tcBorders/>
          </w:tcPr>
          <w:p>
            <w:pPr>
              <w:pStyle w:val="Normal"/>
              <w:widowControl/>
              <w:spacing w:lineRule="auto" w:line="240" w:before="0" w:after="0"/>
              <w:rPr>
                <w:rFonts w:ascii="Myriad Pro" w:hAnsi="Myriad Pro" w:eastAsia="" w:cs=""/>
                <w:kern w:val="0"/>
                <w:sz w:val="22"/>
                <w:szCs w:val="22"/>
                <w:lang w:val="de-DE" w:eastAsia="de-DE" w:bidi="ar-SA"/>
              </w:rPr>
            </w:pPr>
            <w:r>
              <w:rPr>
                <w:rFonts w:eastAsia="" w:cs=""/>
                <w:kern w:val="0"/>
                <w:sz w:val="22"/>
                <w:szCs w:val="22"/>
                <w:lang w:val="de-DE" w:eastAsia="de-DE" w:bidi="ar-SA"/>
              </w:rPr>
              <w:t>IH-Erbringung</w:t>
            </w:r>
          </w:p>
        </w:tc>
      </w:tr>
      <w:tr>
        <w:trPr/>
        <w:tc>
          <w:tcPr>
            <w:tcW w:w="3955" w:type="dxa"/>
            <w:tcBorders/>
          </w:tcPr>
          <w:p>
            <w:pPr>
              <w:pStyle w:val="Normal"/>
              <w:widowControl/>
              <w:spacing w:lineRule="auto" w:line="240" w:before="0" w:after="0"/>
              <w:rPr>
                <w:rFonts w:ascii="Myriad Pro" w:hAnsi="Myriad Pro" w:eastAsia="" w:cs=""/>
                <w:kern w:val="0"/>
                <w:sz w:val="22"/>
                <w:szCs w:val="22"/>
                <w:lang w:val="de-DE" w:eastAsia="de-DE" w:bidi="ar-SA"/>
              </w:rPr>
            </w:pPr>
            <w:r>
              <w:rPr>
                <w:rFonts w:eastAsia="" w:cs=""/>
                <w:kern w:val="0"/>
                <w:sz w:val="22"/>
                <w:szCs w:val="22"/>
                <w:lang w:val="de-DE" w:eastAsia="de-DE" w:bidi="ar-SA"/>
              </w:rPr>
            </w:r>
          </w:p>
        </w:tc>
      </w:tr>
    </w:tbl>
    <w:p>
      <w:pPr>
        <w:pStyle w:val="Normal"/>
        <w:spacing w:lineRule="auto" w:line="240" w:before="0" w:after="0"/>
        <w:rPr/>
      </w:pPr>
      <w:r>
        <w:rPr/>
      </w:r>
    </w:p>
    <w:p>
      <w:pPr>
        <w:pStyle w:val="Normal"/>
        <w:rPr/>
      </w:pPr>
      <w:r>
        <w:rPr/>
        <w:t xml:space="preserve">Das Leistungsspektrum verweist auf die Notwendigkeit von Wissen zum Betrieb und der Instandhaltung von Güterwagen. Zusätzlich ist Wissen benötigt, das der Absicherung von Hilfsprozessen dient. </w:t>
      </w:r>
    </w:p>
    <w:p>
      <w:pPr>
        <w:pStyle w:val="Normal"/>
        <w:jc w:val="left"/>
        <w:rPr/>
      </w:pPr>
      <w:r>
        <w:rPr/>
      </w:r>
      <w:r>
        <w:br w:type="page"/>
      </w:r>
    </w:p>
    <w:p>
      <w:pPr>
        <w:pStyle w:val="Normal"/>
        <w:rPr/>
      </w:pPr>
      <w:r>
        <w:rPr/>
        <w:t>Daraus abgeleitet ist Wissen erforderlich, das seine Quelle besitzt in Ausbildungen und Erfahrungen:</w:t>
      </w:r>
    </w:p>
    <w:p>
      <w:pPr>
        <w:pStyle w:val="ListParagraph"/>
        <w:numPr>
          <w:ilvl w:val="0"/>
          <w:numId w:val="5"/>
        </w:numPr>
        <w:spacing w:lineRule="auto" w:line="240" w:before="0" w:after="120"/>
        <w:ind w:left="714" w:hanging="357"/>
        <w:rPr/>
      </w:pPr>
      <w:r>
        <w:rPr/>
        <w:t>im Bereich der Schienenfahrzeugtechnik</w:t>
      </w:r>
    </w:p>
    <w:p>
      <w:pPr>
        <w:pStyle w:val="ListParagraph"/>
        <w:numPr>
          <w:ilvl w:val="0"/>
          <w:numId w:val="5"/>
        </w:numPr>
        <w:spacing w:lineRule="auto" w:line="240" w:before="0" w:after="120"/>
        <w:ind w:left="714" w:hanging="357"/>
        <w:rPr/>
      </w:pPr>
      <w:r>
        <w:rPr/>
        <w:t>im Bereich der Fahrzeuginstandhaltung allgemein</w:t>
      </w:r>
    </w:p>
    <w:p>
      <w:pPr>
        <w:pStyle w:val="ListParagraph"/>
        <w:numPr>
          <w:ilvl w:val="0"/>
          <w:numId w:val="5"/>
        </w:numPr>
        <w:spacing w:lineRule="auto" w:line="240" w:before="0" w:after="120"/>
        <w:ind w:left="714" w:hanging="357"/>
        <w:rPr/>
      </w:pPr>
      <w:r>
        <w:rPr/>
        <w:t>im Bereich Informationstechnologie</w:t>
      </w:r>
    </w:p>
    <w:p>
      <w:pPr>
        <w:pStyle w:val="ListParagraph"/>
        <w:numPr>
          <w:ilvl w:val="0"/>
          <w:numId w:val="5"/>
        </w:numPr>
        <w:spacing w:lineRule="auto" w:line="240" w:before="0" w:after="120"/>
        <w:ind w:left="714" w:hanging="357"/>
        <w:rPr/>
      </w:pPr>
      <w:r>
        <w:rPr/>
        <w:t>im Bereich der Buchhaltung und der Büroorganisation</w:t>
      </w:r>
    </w:p>
    <w:p>
      <w:pPr>
        <w:pStyle w:val="ListParagraph"/>
        <w:numPr>
          <w:ilvl w:val="0"/>
          <w:numId w:val="5"/>
        </w:numPr>
        <w:spacing w:lineRule="auto" w:line="240" w:before="0" w:after="120"/>
        <w:ind w:left="714" w:hanging="357"/>
        <w:rPr/>
      </w:pPr>
      <w:r>
        <w:rPr/>
        <w:t>aus Lektionen aus Fehlern und erfolgreichen Projekten</w:t>
      </w:r>
    </w:p>
    <w:p>
      <w:pPr>
        <w:pStyle w:val="Normal"/>
        <w:rPr/>
      </w:pPr>
      <w:r>
        <w:rPr/>
        <w:t>Die erforderlichen dokumentierten Informationen für Wissen und Kompetenz liegen vor als:</w:t>
      </w:r>
    </w:p>
    <w:p>
      <w:pPr>
        <w:pStyle w:val="ListParagraph"/>
        <w:numPr>
          <w:ilvl w:val="0"/>
          <w:numId w:val="5"/>
        </w:numPr>
        <w:spacing w:lineRule="auto" w:line="240" w:before="0" w:after="120"/>
        <w:ind w:left="714" w:hanging="357"/>
        <w:rPr/>
      </w:pPr>
      <w:r>
        <w:rPr/>
        <w:t>Personalunterlagen</w:t>
      </w:r>
    </w:p>
    <w:p>
      <w:pPr>
        <w:pStyle w:val="ListParagraph"/>
        <w:numPr>
          <w:ilvl w:val="0"/>
          <w:numId w:val="5"/>
        </w:numPr>
        <w:spacing w:lineRule="auto" w:line="240" w:before="0" w:after="120"/>
        <w:ind w:left="714" w:hanging="357"/>
        <w:rPr/>
      </w:pPr>
      <w:r>
        <w:rPr/>
        <w:t>Qualifikationsnachweise</w:t>
      </w:r>
    </w:p>
    <w:p>
      <w:pPr>
        <w:pStyle w:val="ListParagraph"/>
        <w:numPr>
          <w:ilvl w:val="0"/>
          <w:numId w:val="5"/>
        </w:numPr>
        <w:spacing w:lineRule="auto" w:line="240" w:before="0" w:after="120"/>
        <w:ind w:left="714" w:hanging="357"/>
        <w:rPr/>
      </w:pPr>
      <w:r>
        <w:rPr/>
        <w:t>jährlich überprüfte Stellenbeschreibungen</w:t>
      </w:r>
    </w:p>
    <w:p>
      <w:pPr>
        <w:pStyle w:val="ListParagraph"/>
        <w:numPr>
          <w:ilvl w:val="0"/>
          <w:numId w:val="5"/>
        </w:numPr>
        <w:spacing w:lineRule="auto" w:line="240" w:before="0" w:after="120"/>
        <w:ind w:left="714" w:hanging="357"/>
        <w:rPr/>
      </w:pPr>
      <w:r>
        <w:rPr/>
        <w:t>Qualifikations-/Schulungsmatrix</w:t>
      </w:r>
    </w:p>
    <w:p>
      <w:pPr>
        <w:pStyle w:val="ListParagraph"/>
        <w:numPr>
          <w:ilvl w:val="0"/>
          <w:numId w:val="5"/>
        </w:numPr>
        <w:spacing w:lineRule="auto" w:line="240" w:before="0" w:after="120"/>
        <w:ind w:left="714" w:hanging="357"/>
        <w:rPr/>
      </w:pPr>
      <w:r>
        <w:rPr/>
        <w:t xml:space="preserve">Nachweise zu Unterweisungen/Schulungen </w:t>
      </w:r>
    </w:p>
    <w:p>
      <w:pPr>
        <w:pStyle w:val="ListParagraph"/>
        <w:numPr>
          <w:ilvl w:val="0"/>
          <w:numId w:val="5"/>
        </w:numPr>
        <w:spacing w:lineRule="auto" w:line="240" w:before="0" w:after="120"/>
        <w:ind w:left="714" w:hanging="357"/>
        <w:rPr/>
      </w:pPr>
      <w:r>
        <w:rPr/>
        <w:t>Übertragungen von Unternehmerpflichten</w:t>
      </w:r>
    </w:p>
    <w:p>
      <w:pPr>
        <w:pStyle w:val="ListParagraph"/>
        <w:numPr>
          <w:ilvl w:val="0"/>
          <w:numId w:val="5"/>
        </w:numPr>
        <w:spacing w:lineRule="auto" w:line="240" w:before="0" w:after="120"/>
        <w:ind w:left="714" w:hanging="357"/>
        <w:rPr/>
      </w:pPr>
      <w:r>
        <w:rPr/>
        <w:t>Regelungen zur/zum</w:t>
      </w:r>
    </w:p>
    <w:p>
      <w:pPr>
        <w:pStyle w:val="ListParagraph"/>
        <w:numPr>
          <w:ilvl w:val="1"/>
          <w:numId w:val="5"/>
        </w:numPr>
        <w:spacing w:lineRule="auto" w:line="240" w:before="0" w:after="120"/>
        <w:rPr/>
      </w:pPr>
      <w:r>
        <w:rPr/>
        <w:t>Mitführungspflicht von Personaldokumenten</w:t>
      </w:r>
    </w:p>
    <w:p>
      <w:pPr>
        <w:pStyle w:val="ListParagraph"/>
        <w:numPr>
          <w:ilvl w:val="1"/>
          <w:numId w:val="5"/>
        </w:numPr>
        <w:spacing w:lineRule="auto" w:line="240" w:before="0" w:after="120"/>
        <w:rPr/>
      </w:pPr>
      <w:r>
        <w:rPr/>
        <w:t>Verpflichtung auf das Datengeheimnis</w:t>
      </w:r>
    </w:p>
    <w:p>
      <w:pPr>
        <w:pStyle w:val="ListParagraph"/>
        <w:numPr>
          <w:ilvl w:val="1"/>
          <w:numId w:val="5"/>
        </w:numPr>
        <w:spacing w:lineRule="auto" w:line="240" w:before="0" w:after="120"/>
        <w:rPr/>
      </w:pPr>
      <w:r>
        <w:rPr/>
        <w:t>Bargeldvorschuss</w:t>
      </w:r>
    </w:p>
    <w:p>
      <w:pPr>
        <w:pStyle w:val="Normal"/>
        <w:spacing w:lineRule="auto" w:line="240" w:before="0" w:after="120"/>
        <w:rPr>
          <w:sz w:val="21"/>
          <w:szCs w:val="21"/>
        </w:rPr>
      </w:pPr>
      <w:r>
        <w:rPr>
          <w:sz w:val="21"/>
          <w:szCs w:val="21"/>
        </w:rPr>
        <w:t xml:space="preserve">Die Übersicht der Qualifikationsnachweise wird durch AS als Original geführt. Auf Basis der elektronischen Version, die A&amp;Q von AS erhält, wird die </w:t>
      </w:r>
      <w:r>
        <w:rPr/>
        <w:t xml:space="preserve">Qualifikations-/Schulungsmatrix </w:t>
      </w:r>
      <w:r>
        <w:rPr>
          <w:sz w:val="21"/>
          <w:szCs w:val="21"/>
        </w:rPr>
        <w:t xml:space="preserve">geführt und aktualisiert. </w:t>
      </w:r>
    </w:p>
    <w:p>
      <w:pPr>
        <w:pStyle w:val="Berschrift2"/>
        <w:numPr>
          <w:ilvl w:val="1"/>
          <w:numId w:val="1"/>
        </w:numPr>
        <w:suppressAutoHyphens w:val="true"/>
        <w:rPr/>
      </w:pPr>
      <w:bookmarkStart w:id="6" w:name="_Toc449357470"/>
      <w:r>
        <w:rPr>
          <w:rFonts w:eastAsia="Myriad Pro"/>
          <w:lang w:eastAsia="ar-SA"/>
        </w:rPr>
        <w:t>4.3 Bewusstsein</w:t>
      </w:r>
      <w:bookmarkEnd w:id="6"/>
    </w:p>
    <w:p>
      <w:pPr>
        <w:pStyle w:val="Berschrift3"/>
        <w:rPr/>
      </w:pPr>
      <w:bookmarkStart w:id="7" w:name="_Toc449357471"/>
      <w:bookmarkStart w:id="8" w:name="_Toc336265689"/>
      <w:bookmarkStart w:id="9" w:name="_Toc322726552"/>
      <w:r>
        <w:rPr/>
        <w:t>4.3.1 Politik und Ziel</w:t>
      </w:r>
      <w:bookmarkEnd w:id="8"/>
      <w:bookmarkEnd w:id="9"/>
      <w:r>
        <w:rPr/>
        <w:t>e</w:t>
      </w:r>
      <w:bookmarkEnd w:id="7"/>
    </w:p>
    <w:p>
      <w:pPr>
        <w:pStyle w:val="Normal"/>
        <w:rPr/>
      </w:pPr>
      <w:r>
        <w:rPr/>
        <w:t>Die Qualitäts- und Sicherheitspolitik sowie die Qualitäts- und Sicherheitsziele werden jährlich hinsichtlich ihrer Gültigkeit bzw. Erreichung überprüft. Hierfür stellt die Managementbewertung den formalen Rahmen dar. Beide Aufzeichnungen werden in den Unternehmen veröffentlicht. Sie sind somit allen Mitarbeitern zugänglich. Ergänzend ist die Qualitäts- und Sicherheitspolitik Bestandteil der Fahrzeugdokumentation der Einsatzfahrzeuge im mobilen Service.</w:t>
      </w:r>
    </w:p>
    <w:p>
      <w:pPr>
        <w:pStyle w:val="Normal"/>
        <w:rPr/>
      </w:pPr>
      <w:r>
        <w:rPr/>
        <w:t xml:space="preserve">Die nachgewiesenen kontinuierlichen Unterweisungen durch die Führungskräfte vermitteln dem Personal </w:t>
      </w:r>
    </w:p>
    <w:p>
      <w:pPr>
        <w:pStyle w:val="ListParagraph"/>
        <w:numPr>
          <w:ilvl w:val="0"/>
          <w:numId w:val="6"/>
        </w:numPr>
        <w:rPr>
          <w:rFonts w:ascii="Myriad Pro" w:hAnsi="Myriad Pro" w:asciiTheme="minorHAnsi" w:hAnsiTheme="minorHAnsi"/>
        </w:rPr>
      </w:pPr>
      <w:r>
        <w:rPr>
          <w:rFonts w:asciiTheme="minorHAnsi" w:hAnsiTheme="minorHAnsi"/>
        </w:rPr>
        <w:t xml:space="preserve">seinen Beitrag zur Wirksamkeit des Qualitätsmanagementsystems, einschließlich der Vor-teile einer verbesserten Leistung; </w:t>
      </w:r>
    </w:p>
    <w:p>
      <w:pPr>
        <w:pStyle w:val="ListParagraph"/>
        <w:numPr>
          <w:ilvl w:val="0"/>
          <w:numId w:val="6"/>
        </w:numPr>
        <w:rPr>
          <w:rFonts w:ascii="Myriad Pro" w:hAnsi="Myriad Pro" w:eastAsia="" w:asciiTheme="minorHAnsi" w:eastAsiaTheme="minorEastAsia" w:hAnsiTheme="minorHAnsi"/>
          <w:lang w:eastAsia="de-DE"/>
        </w:rPr>
      </w:pPr>
      <w:r>
        <w:rPr>
          <w:rFonts w:asciiTheme="minorHAnsi" w:hAnsiTheme="minorHAnsi"/>
        </w:rPr>
        <w:t xml:space="preserve">Folgen einer Nichterfüllung der Anforderungen des Qualitätsmanagementsystems. </w:t>
      </w:r>
    </w:p>
    <w:p>
      <w:pPr>
        <w:pStyle w:val="Normal"/>
        <w:rPr/>
      </w:pPr>
      <w:r>
        <w:rPr/>
        <w:t>In beiden Fällen liegt der Schwerpunkt der Ausführungen auf den Zusammenhängen:</w:t>
      </w:r>
    </w:p>
    <w:p>
      <w:pPr>
        <w:pStyle w:val="ListParagraph"/>
        <w:numPr>
          <w:ilvl w:val="0"/>
          <w:numId w:val="7"/>
        </w:numPr>
        <w:tabs>
          <w:tab w:val="clear" w:pos="708"/>
          <w:tab w:val="left" w:pos="784" w:leader="none"/>
          <w:tab w:val="left" w:pos="4253" w:leader="none"/>
        </w:tabs>
        <w:spacing w:before="0" w:after="120"/>
        <w:ind w:left="5103" w:hanging="4695"/>
        <w:jc w:val="left"/>
        <w:rPr>
          <w:rFonts w:ascii="Myriad Pro" w:hAnsi="Myriad Pro" w:asciiTheme="minorHAnsi" w:hAnsiTheme="minorHAnsi"/>
        </w:rPr>
      </w:pPr>
      <w:r>
        <w:rPr>
          <w:rFonts w:asciiTheme="minorHAnsi" w:hAnsiTheme="minorHAnsi"/>
        </w:rPr>
        <w:t>qualitätsgerechte Arbeit</w:t>
        <w:tab/>
        <w:t>gleich</w:t>
        <w:tab/>
        <w:t>sicherer Betrieb von Güterwagen</w:t>
      </w:r>
    </w:p>
    <w:p>
      <w:pPr>
        <w:pStyle w:val="ListParagraph"/>
        <w:numPr>
          <w:ilvl w:val="0"/>
          <w:numId w:val="7"/>
        </w:numPr>
        <w:tabs>
          <w:tab w:val="clear" w:pos="708"/>
          <w:tab w:val="left" w:pos="784" w:leader="none"/>
          <w:tab w:val="left" w:pos="4253" w:leader="none"/>
        </w:tabs>
        <w:spacing w:before="0" w:after="120"/>
        <w:ind w:left="5103" w:hanging="4695"/>
        <w:jc w:val="left"/>
        <w:rPr>
          <w:rFonts w:ascii="Myriad Pro" w:hAnsi="Myriad Pro" w:asciiTheme="minorHAnsi" w:hAnsiTheme="minorHAnsi"/>
        </w:rPr>
      </w:pPr>
      <w:r>
        <w:rPr>
          <w:rFonts w:asciiTheme="minorHAnsi" w:hAnsiTheme="minorHAnsi"/>
        </w:rPr>
        <w:t>qualitätsgerechte Arbeit</w:t>
        <w:tab/>
        <w:t>gleich</w:t>
        <w:tab/>
        <w:t>Erfüllung der Kundenanforderungen</w:t>
      </w:r>
    </w:p>
    <w:p>
      <w:pPr>
        <w:pStyle w:val="ListParagraph"/>
        <w:numPr>
          <w:ilvl w:val="0"/>
          <w:numId w:val="7"/>
        </w:numPr>
        <w:tabs>
          <w:tab w:val="clear" w:pos="708"/>
          <w:tab w:val="left" w:pos="784" w:leader="none"/>
          <w:tab w:val="left" w:pos="4253" w:leader="none"/>
        </w:tabs>
        <w:spacing w:before="0" w:after="120"/>
        <w:ind w:left="5103" w:hanging="4695"/>
        <w:jc w:val="left"/>
        <w:rPr>
          <w:rFonts w:ascii="Myriad Pro" w:hAnsi="Myriad Pro" w:asciiTheme="minorHAnsi" w:hAnsiTheme="minorHAnsi"/>
        </w:rPr>
      </w:pPr>
      <w:r>
        <w:rPr>
          <w:rFonts w:asciiTheme="minorHAnsi" w:hAnsiTheme="minorHAnsi"/>
        </w:rPr>
        <w:t>Erfüllung der Kundenanforderungen</w:t>
        <w:tab/>
        <w:t>gleich</w:t>
        <w:tab/>
        <w:t>Kundenzufriedenheit</w:t>
      </w:r>
    </w:p>
    <w:p>
      <w:pPr>
        <w:pStyle w:val="ListParagraph"/>
        <w:numPr>
          <w:ilvl w:val="0"/>
          <w:numId w:val="7"/>
        </w:numPr>
        <w:tabs>
          <w:tab w:val="clear" w:pos="708"/>
          <w:tab w:val="left" w:pos="784" w:leader="none"/>
          <w:tab w:val="left" w:pos="4253" w:leader="none"/>
        </w:tabs>
        <w:spacing w:before="0" w:after="120"/>
        <w:ind w:left="5103" w:hanging="4695"/>
        <w:jc w:val="left"/>
        <w:rPr>
          <w:rFonts w:ascii="Myriad Pro" w:hAnsi="Myriad Pro" w:asciiTheme="minorHAnsi" w:hAnsiTheme="minorHAnsi"/>
        </w:rPr>
      </w:pPr>
      <w:r>
        <w:rPr>
          <w:rFonts w:asciiTheme="minorHAnsi" w:hAnsiTheme="minorHAnsi"/>
        </w:rPr>
        <w:t>Kundenzufriedenheit</w:t>
        <w:tab/>
        <w:t>gleich</w:t>
        <w:tab/>
        <w:t>potenzielle Auftrags- und Ergebnis-steigerung</w:t>
      </w:r>
    </w:p>
    <w:p>
      <w:pPr>
        <w:pStyle w:val="ListParagraph"/>
        <w:numPr>
          <w:ilvl w:val="0"/>
          <w:numId w:val="7"/>
        </w:numPr>
        <w:tabs>
          <w:tab w:val="clear" w:pos="708"/>
          <w:tab w:val="left" w:pos="784" w:leader="none"/>
          <w:tab w:val="left" w:pos="4253" w:leader="none"/>
        </w:tabs>
        <w:spacing w:before="0" w:after="120"/>
        <w:ind w:left="5103" w:hanging="4695"/>
        <w:jc w:val="left"/>
        <w:rPr>
          <w:rFonts w:ascii="Myriad Pro" w:hAnsi="Myriad Pro" w:asciiTheme="minorHAnsi" w:hAnsiTheme="minorHAnsi"/>
        </w:rPr>
      </w:pPr>
      <w:r>
        <w:rPr>
          <w:rFonts w:asciiTheme="minorHAnsi" w:hAnsiTheme="minorHAnsi"/>
        </w:rPr>
        <w:t>Auftrags- und Ergebnissteigerung</w:t>
        <w:tab/>
        <w:t>gleich</w:t>
        <w:tab/>
        <w:t>Schaffung von Spielräumen der Erhöhung der Mitarbeiterzufriedenheit (z.B. Bonusregelungen)</w:t>
      </w:r>
    </w:p>
    <w:p>
      <w:pPr>
        <w:pStyle w:val="Normal"/>
        <w:ind w:left="47" w:hanging="0"/>
        <w:rPr/>
      </w:pPr>
      <w:r>
        <w:rPr/>
        <w:t>Neben dem grundsätzlich positiven Ansatz stehen dem Unternehmen verschiedene Formen der Ahndung einer Nichterfüllung der Anforderungen des Qualitätsmanagementsystems zur Verfügung. Im Bedarfsfall wurden und werden diese angewendet. Insbesondere stehen dabei Nichterfüllungen sicherheitsrelevanter Anforderungen im Fokus. Auch hierzu ist das Personal informiert.</w:t>
      </w:r>
    </w:p>
    <w:p>
      <w:pPr>
        <w:pStyle w:val="Berschrift3"/>
        <w:rPr/>
      </w:pPr>
      <w:bookmarkStart w:id="10" w:name="_Toc449357472"/>
      <w:r>
        <w:rPr/>
        <w:t>4.3.2 Persönliche Einsatzvoraussetzungen</w:t>
      </w:r>
      <w:bookmarkEnd w:id="10"/>
    </w:p>
    <w:p>
      <w:pPr>
        <w:pStyle w:val="Normal"/>
        <w:rPr/>
      </w:pPr>
      <w:r>
        <w:rPr/>
        <w:t>Der Konsum von Alkohol und Drogen während der Arbeitszeit ist absolut verboten, ebenso wie der Dienstantritt unter Alkohol- oder Drogeneinfluss. Im Rahmen der Betriebssicherheit ist jeglicher diesbezüglicher Verstoß zu melden. Es werden unregelmäßig Tests bei Begehungen durchgeführt.</w:t>
      </w:r>
    </w:p>
    <w:p>
      <w:pPr>
        <w:pStyle w:val="Normal"/>
        <w:rPr/>
      </w:pPr>
      <w:r>
        <w:rPr/>
        <w:t xml:space="preserve">Steht Personal während der Arbeitszeit unter Verdacht Drogen oder Alkohol zu sich genommen zu haben, so ist es auf das eventuelle Vergehen hin anzusprechen. Es wird durch einen Alkohol- oder Drogenschnelltest die Möglichkeit gegeben sich von dem Verdacht zu befreien. Wird diese Möglichkeit nicht angenommen, oder bestätigt der Test den Verdacht, so ist das Personal des Arbeitsplatzes zu verweisen. In jedem Fall erfolgt eine Meldung an </w:t>
      </w:r>
      <w:r>
        <w:rPr>
          <w:highlight w:val="yellow"/>
        </w:rPr>
        <w:t>den Leiter IH</w:t>
      </w:r>
      <w:bookmarkStart w:id="11" w:name="_GoBack"/>
      <w:bookmarkEnd w:id="11"/>
      <w:r>
        <w:rPr/>
        <w:t>, der das weitere Vorgehen festlegt.</w:t>
      </w:r>
    </w:p>
    <w:p>
      <w:pPr>
        <w:pStyle w:val="Berschrift2"/>
        <w:numPr>
          <w:ilvl w:val="1"/>
          <w:numId w:val="1"/>
        </w:numPr>
        <w:suppressAutoHyphens w:val="true"/>
        <w:rPr/>
      </w:pPr>
      <w:bookmarkStart w:id="12" w:name="_Toc449357473"/>
      <w:r>
        <w:rPr>
          <w:rFonts w:eastAsia="Myriad Pro"/>
          <w:lang w:eastAsia="ar-SA"/>
        </w:rPr>
        <w:t xml:space="preserve">4.4 </w:t>
      </w:r>
      <w:bookmarkStart w:id="13" w:name="_Toc322600957"/>
      <w:r>
        <w:rPr>
          <w:rFonts w:eastAsia="Myriad Pro"/>
          <w:lang w:eastAsia="ar-SA"/>
        </w:rPr>
        <w:t>Kommunikation</w:t>
      </w:r>
      <w:bookmarkEnd w:id="12"/>
      <w:bookmarkEnd w:id="13"/>
    </w:p>
    <w:p>
      <w:pPr>
        <w:pStyle w:val="Normal"/>
        <w:rPr>
          <w:rFonts w:ascii="Myriad Pro" w:hAnsi="Myriad Pro"/>
        </w:rPr>
      </w:pPr>
      <w:r>
        <w:rPr/>
        <w:t xml:space="preserve">Für beide Unternehmen werden Informationsübersichten erstellt. Sie enthalten Angaben, die der DIN EN ISO 9001:2015 und der </w:t>
      </w:r>
      <w:r>
        <w:rPr/>
        <w:t>D</w:t>
      </w:r>
      <w:r>
        <w:rPr/>
        <w:t xml:space="preserve">VO (EU) </w:t>
      </w:r>
      <w:r>
        <w:rPr/>
        <w:t>2019/779</w:t>
      </w:r>
      <w:r>
        <w:rPr/>
        <w:t xml:space="preserve"> entsprechen. Bei den in den Übersichten genann</w:t>
      </w:r>
      <w:r>
        <w:rPr/>
        <w:t>ten dokumentierten Informationen handelt es sich um:</w:t>
      </w:r>
    </w:p>
    <w:p>
      <w:pPr>
        <w:pStyle w:val="ListParagraph"/>
        <w:numPr>
          <w:ilvl w:val="0"/>
          <w:numId w:val="8"/>
        </w:numPr>
        <w:spacing w:lineRule="auto" w:line="240" w:before="0" w:after="60"/>
        <w:ind w:left="714" w:hanging="357"/>
        <w:rPr/>
      </w:pPr>
      <w:r>
        <w:rPr/>
        <w:t>Besprechungsprotokolle</w:t>
      </w:r>
    </w:p>
    <w:p>
      <w:pPr>
        <w:pStyle w:val="ListParagraph"/>
        <w:numPr>
          <w:ilvl w:val="0"/>
          <w:numId w:val="8"/>
        </w:numPr>
        <w:spacing w:lineRule="auto" w:line="240" w:before="0" w:after="60"/>
        <w:ind w:left="714" w:hanging="357"/>
        <w:rPr/>
      </w:pPr>
      <w:r>
        <w:rPr/>
        <w:t>Projektunterlagen</w:t>
      </w:r>
    </w:p>
    <w:p>
      <w:pPr>
        <w:pStyle w:val="ListParagraph"/>
        <w:numPr>
          <w:ilvl w:val="0"/>
          <w:numId w:val="8"/>
        </w:numPr>
        <w:spacing w:lineRule="auto" w:line="240" w:before="0" w:after="60"/>
        <w:ind w:left="714" w:hanging="357"/>
        <w:rPr/>
      </w:pPr>
      <w:r>
        <w:rPr/>
        <w:t>Aktionspläne</w:t>
      </w:r>
    </w:p>
    <w:p>
      <w:pPr>
        <w:pStyle w:val="ListParagraph"/>
        <w:numPr>
          <w:ilvl w:val="0"/>
          <w:numId w:val="8"/>
        </w:numPr>
        <w:spacing w:lineRule="auto" w:line="240" w:before="0" w:after="60"/>
        <w:ind w:left="714" w:hanging="357"/>
        <w:rPr/>
      </w:pPr>
      <w:r>
        <w:rPr/>
        <w:t>Materialbestellungen</w:t>
      </w:r>
    </w:p>
    <w:p>
      <w:pPr>
        <w:pStyle w:val="ListParagraph"/>
        <w:numPr>
          <w:ilvl w:val="0"/>
          <w:numId w:val="8"/>
        </w:numPr>
        <w:spacing w:lineRule="auto" w:line="240" w:before="0" w:after="60"/>
        <w:ind w:left="714" w:hanging="357"/>
        <w:rPr/>
      </w:pPr>
      <w:r>
        <w:rPr/>
        <w:t>KFZ-Ausstattungslisten</w:t>
      </w:r>
    </w:p>
    <w:p>
      <w:pPr>
        <w:pStyle w:val="ListParagraph"/>
        <w:numPr>
          <w:ilvl w:val="0"/>
          <w:numId w:val="8"/>
        </w:numPr>
        <w:spacing w:lineRule="auto" w:line="240" w:before="0" w:after="60"/>
        <w:ind w:left="714" w:hanging="357"/>
        <w:rPr/>
      </w:pPr>
      <w:r>
        <w:rPr/>
        <w:t>Kalibrierübersichten</w:t>
      </w:r>
    </w:p>
    <w:p>
      <w:pPr>
        <w:pStyle w:val="ListParagraph"/>
        <w:numPr>
          <w:ilvl w:val="0"/>
          <w:numId w:val="8"/>
        </w:numPr>
        <w:spacing w:lineRule="auto" w:line="240" w:before="0" w:after="60"/>
        <w:ind w:left="714" w:hanging="357"/>
        <w:rPr/>
      </w:pPr>
      <w:r>
        <w:rPr/>
        <w:t>BWA</w:t>
      </w:r>
    </w:p>
    <w:p>
      <w:pPr>
        <w:pStyle w:val="ListParagraph"/>
        <w:numPr>
          <w:ilvl w:val="0"/>
          <w:numId w:val="8"/>
        </w:numPr>
        <w:spacing w:lineRule="auto" w:line="240" w:before="0" w:after="60"/>
        <w:ind w:left="714" w:hanging="357"/>
        <w:rPr/>
      </w:pPr>
      <w:r>
        <w:rPr/>
        <w:t>Jahresabschlüsse</w:t>
      </w:r>
    </w:p>
    <w:p>
      <w:pPr>
        <w:pStyle w:val="ListParagraph"/>
        <w:numPr>
          <w:ilvl w:val="0"/>
          <w:numId w:val="8"/>
        </w:numPr>
        <w:spacing w:lineRule="auto" w:line="240" w:before="0" w:after="60"/>
        <w:ind w:left="714" w:hanging="357"/>
        <w:rPr/>
      </w:pPr>
      <w:r>
        <w:rPr/>
        <w:t>EDV-Übersichten</w:t>
      </w:r>
    </w:p>
    <w:p>
      <w:pPr>
        <w:pStyle w:val="ListParagraph"/>
        <w:numPr>
          <w:ilvl w:val="0"/>
          <w:numId w:val="8"/>
        </w:numPr>
        <w:spacing w:lineRule="auto" w:line="240" w:before="0" w:after="60"/>
        <w:ind w:left="714" w:hanging="357"/>
        <w:rPr/>
      </w:pPr>
      <w:r>
        <w:rPr/>
        <w:t>Einsatzpläne</w:t>
      </w:r>
    </w:p>
    <w:p>
      <w:pPr>
        <w:pStyle w:val="ListParagraph"/>
        <w:numPr>
          <w:ilvl w:val="0"/>
          <w:numId w:val="8"/>
        </w:numPr>
        <w:spacing w:lineRule="auto" w:line="240" w:before="0" w:after="60"/>
        <w:ind w:left="714" w:hanging="357"/>
        <w:rPr/>
      </w:pPr>
      <w:r>
        <w:rPr/>
        <w:t>Arbeitsaufträge</w:t>
      </w:r>
    </w:p>
    <w:p>
      <w:pPr>
        <w:pStyle w:val="ListParagraph"/>
        <w:numPr>
          <w:ilvl w:val="0"/>
          <w:numId w:val="8"/>
        </w:numPr>
        <w:spacing w:lineRule="auto" w:line="240" w:before="0" w:after="60"/>
        <w:ind w:left="714" w:hanging="357"/>
        <w:rPr/>
      </w:pPr>
      <w:r>
        <w:rPr/>
        <w:t>Messprotokolle</w:t>
      </w:r>
    </w:p>
    <w:p>
      <w:pPr>
        <w:pStyle w:val="ListParagraph"/>
        <w:numPr>
          <w:ilvl w:val="0"/>
          <w:numId w:val="8"/>
        </w:numPr>
        <w:spacing w:lineRule="auto" w:line="240" w:before="0" w:after="60"/>
        <w:ind w:left="714" w:hanging="357"/>
        <w:rPr/>
      </w:pPr>
      <w:r>
        <w:rPr/>
        <w:t>Kundenanfragen</w:t>
      </w:r>
    </w:p>
    <w:p>
      <w:pPr>
        <w:pStyle w:val="ListParagraph"/>
        <w:numPr>
          <w:ilvl w:val="0"/>
          <w:numId w:val="8"/>
        </w:numPr>
        <w:spacing w:lineRule="auto" w:line="240" w:before="0" w:after="60"/>
        <w:ind w:left="714" w:hanging="357"/>
        <w:rPr/>
      </w:pPr>
      <w:r>
        <w:rPr/>
        <w:t>Leistungsverträge</w:t>
      </w:r>
    </w:p>
    <w:p>
      <w:pPr>
        <w:pStyle w:val="ListParagraph"/>
        <w:numPr>
          <w:ilvl w:val="0"/>
          <w:numId w:val="8"/>
        </w:numPr>
        <w:spacing w:lineRule="auto" w:line="240" w:before="0" w:after="60"/>
        <w:ind w:left="714" w:hanging="357"/>
        <w:rPr/>
      </w:pPr>
      <w:r>
        <w:rPr/>
        <w:t>Leistungsnachweise</w:t>
      </w:r>
    </w:p>
    <w:p>
      <w:pPr>
        <w:pStyle w:val="ListParagraph"/>
        <w:numPr>
          <w:ilvl w:val="0"/>
          <w:numId w:val="8"/>
        </w:numPr>
        <w:spacing w:lineRule="auto" w:line="240" w:before="0" w:after="60"/>
        <w:ind w:left="714" w:hanging="357"/>
        <w:rPr/>
      </w:pPr>
      <w:r>
        <w:rPr/>
        <w:t>Tagesberichte</w:t>
      </w:r>
    </w:p>
    <w:p>
      <w:pPr>
        <w:pStyle w:val="ListParagraph"/>
        <w:numPr>
          <w:ilvl w:val="0"/>
          <w:numId w:val="8"/>
        </w:numPr>
        <w:spacing w:lineRule="auto" w:line="240" w:before="0" w:after="60"/>
        <w:ind w:left="714" w:hanging="357"/>
        <w:rPr/>
      </w:pPr>
      <w:r>
        <w:rPr/>
        <w:t>Betriebsfreigaben</w:t>
      </w:r>
    </w:p>
    <w:p>
      <w:pPr>
        <w:pStyle w:val="ListParagraph"/>
        <w:numPr>
          <w:ilvl w:val="0"/>
          <w:numId w:val="8"/>
        </w:numPr>
        <w:spacing w:lineRule="auto" w:line="240" w:before="0" w:after="60"/>
        <w:ind w:left="714" w:hanging="357"/>
        <w:rPr/>
      </w:pPr>
      <w:r>
        <w:rPr/>
        <w:t>Zertifikate, Begutachtungsunterlagen</w:t>
      </w:r>
    </w:p>
    <w:p>
      <w:pPr>
        <w:pStyle w:val="ListParagraph"/>
        <w:numPr>
          <w:ilvl w:val="0"/>
          <w:numId w:val="8"/>
        </w:numPr>
        <w:spacing w:lineRule="auto" w:line="240" w:before="0" w:after="60"/>
        <w:ind w:left="714" w:hanging="357"/>
        <w:rPr/>
      </w:pPr>
      <w:r>
        <w:rPr/>
        <w:t>div. Formblätter des QMS entsprechend zugehörigem Verfahren</w:t>
      </w:r>
    </w:p>
    <w:p>
      <w:pPr>
        <w:pStyle w:val="Berschrift1"/>
        <w:spacing w:before="480" w:after="240"/>
        <w:rPr>
          <w:rFonts w:eastAsia="Times New Roman"/>
          <w:lang w:eastAsia="ar-SA"/>
        </w:rPr>
      </w:pPr>
      <w:bookmarkStart w:id="14" w:name="_Toc449357474"/>
      <w:r>
        <w:rPr>
          <w:rFonts w:eastAsia="Times New Roman"/>
          <w:lang w:eastAsia="ar-SA"/>
        </w:rPr>
        <w:t>5. Mitgeltende Dokumente</w:t>
      </w:r>
      <w:bookmarkEnd w:id="14"/>
    </w:p>
    <w:p>
      <w:pPr>
        <w:pStyle w:val="ListParagraph"/>
        <w:numPr>
          <w:ilvl w:val="0"/>
          <w:numId w:val="2"/>
        </w:numPr>
        <w:spacing w:before="0" w:after="200"/>
        <w:contextualSpacing/>
        <w:rPr/>
      </w:pPr>
      <w:r>
        <w:rPr/>
        <w:t>Aktuelle</w:t>
      </w:r>
      <w:r>
        <w:rPr>
          <w:highlight w:val="yellow"/>
        </w:rPr>
        <w:t>s</w:t>
      </w:r>
      <w:r>
        <w:rPr/>
        <w:t xml:space="preserve"> Organigramm</w:t>
      </w:r>
    </w:p>
    <w:p>
      <w:pPr>
        <w:pStyle w:val="ListParagraph"/>
        <w:numPr>
          <w:ilvl w:val="0"/>
          <w:numId w:val="2"/>
        </w:numPr>
        <w:spacing w:before="0" w:after="200"/>
        <w:contextualSpacing/>
        <w:rPr/>
      </w:pPr>
      <w:r>
        <w:rPr/>
        <w:t>Betriebliche Regelung 01/2014 (Betriebsvereinbarung zur Arbeitszeit)</w:t>
      </w:r>
    </w:p>
    <w:p>
      <w:pPr>
        <w:pStyle w:val="ListParagraph"/>
        <w:numPr>
          <w:ilvl w:val="0"/>
          <w:numId w:val="2"/>
        </w:numPr>
        <w:spacing w:before="0" w:after="200"/>
        <w:contextualSpacing/>
        <w:rPr/>
      </w:pPr>
      <w:r>
        <w:rPr/>
        <w:t>Betriebliche Regelung 03/2014 (Betriebsvereinbarung zur Arbeitszeit, nicht mobiler Service)</w:t>
      </w:r>
    </w:p>
    <w:p>
      <w:pPr>
        <w:pStyle w:val="ListParagraph"/>
        <w:numPr>
          <w:ilvl w:val="0"/>
          <w:numId w:val="2"/>
        </w:numPr>
        <w:spacing w:before="0" w:after="200"/>
        <w:contextualSpacing/>
        <w:rPr/>
      </w:pPr>
      <w:r>
        <w:rPr/>
        <w:t>Durchführungsv</w:t>
      </w:r>
      <w:r>
        <w:rPr/>
        <w:t xml:space="preserve">erordnung (EU) </w:t>
      </w:r>
      <w:r>
        <w:rPr/>
        <w:t>2019/779</w:t>
      </w:r>
    </w:p>
    <w:p>
      <w:pPr>
        <w:pStyle w:val="Berschrift1"/>
        <w:spacing w:before="480" w:after="240"/>
        <w:rPr>
          <w:rFonts w:eastAsia="Times New Roman"/>
          <w:lang w:eastAsia="ar-SA"/>
        </w:rPr>
      </w:pPr>
      <w:bookmarkStart w:id="15" w:name="_Toc449357475"/>
      <w:r>
        <w:rPr>
          <w:rFonts w:eastAsia="Times New Roman"/>
          <w:lang w:eastAsia="ar-SA"/>
        </w:rPr>
        <w:t>6. Gültigkeit</w:t>
      </w:r>
      <w:bookmarkEnd w:id="15"/>
    </w:p>
    <w:p>
      <w:pPr>
        <w:pStyle w:val="Normal"/>
        <w:rPr>
          <w:highlight w:val="yellow"/>
        </w:rPr>
      </w:pPr>
      <w:r>
        <w:rPr>
          <w:highlight w:val="yellow"/>
        </w:rPr>
        <w:t>Diese Verfahrensanweisung tritt in Kraft am:</w:t>
        <w:tab/>
        <w:tab/>
      </w:r>
      <w:r>
        <w:rPr>
          <w:highlight w:val="yellow"/>
        </w:rPr>
        <w:t>18.04.2022</w:t>
      </w:r>
    </w:p>
    <w:p>
      <w:pPr>
        <w:pStyle w:val="Normal"/>
        <w:spacing w:lineRule="auto" w:line="240" w:before="0" w:after="0"/>
        <w:rPr/>
      </w:pPr>
      <w:r>
        <w:rPr>
          <w:highlight w:val="yellow"/>
        </w:rPr>
        <w:t>Diese Verfahrensanweisung setzt außer Kraft:</w:t>
        <w:tab/>
        <w:tab/>
        <w:t>VA 02-01 vom 14.03.2018</w:t>
      </w:r>
    </w:p>
    <w:p>
      <w:pPr>
        <w:pStyle w:val="Berschrift1"/>
        <w:spacing w:before="480" w:after="240"/>
        <w:rPr>
          <w:rFonts w:eastAsia="Times New Roman"/>
          <w:lang w:eastAsia="ar-SA"/>
        </w:rPr>
      </w:pPr>
      <w:bookmarkStart w:id="16" w:name="_Toc449357476"/>
      <w:r>
        <w:rPr>
          <w:rFonts w:eastAsia="Times New Roman"/>
          <w:lang w:eastAsia="ar-SA"/>
        </w:rPr>
        <w:t>7. Anlagen</w:t>
      </w:r>
      <w:bookmarkEnd w:id="16"/>
    </w:p>
    <w:p>
      <w:pPr>
        <w:pStyle w:val="ListParagraph"/>
        <w:numPr>
          <w:ilvl w:val="0"/>
          <w:numId w:val="3"/>
        </w:numPr>
        <w:spacing w:before="0" w:after="200"/>
        <w:contextualSpacing/>
        <w:rPr/>
      </w:pPr>
      <w:r>
        <w:rPr/>
        <w:t>A02-01_01 Mitführungspflicht Personaldokumente</w:t>
      </w:r>
    </w:p>
    <w:p>
      <w:pPr>
        <w:pStyle w:val="ListParagraph"/>
        <w:numPr>
          <w:ilvl w:val="0"/>
          <w:numId w:val="3"/>
        </w:numPr>
        <w:spacing w:before="0" w:after="200"/>
        <w:contextualSpacing/>
        <w:rPr/>
      </w:pPr>
      <w:r>
        <w:rPr/>
        <w:t>A02-01_02 Verpflichtung auf das Datengeheimnis</w:t>
      </w:r>
    </w:p>
    <w:p>
      <w:pPr>
        <w:pStyle w:val="ListParagraph"/>
        <w:numPr>
          <w:ilvl w:val="0"/>
          <w:numId w:val="3"/>
        </w:numPr>
        <w:spacing w:before="0" w:after="200"/>
        <w:contextualSpacing/>
        <w:rPr/>
      </w:pPr>
      <w:r>
        <w:rPr/>
        <w:t>A02-01_03 Bargeldvorschuss</w:t>
      </w:r>
    </w:p>
    <w:p>
      <w:pPr>
        <w:pStyle w:val="ListParagraph"/>
        <w:numPr>
          <w:ilvl w:val="0"/>
          <w:numId w:val="3"/>
        </w:numPr>
        <w:spacing w:before="0" w:after="200"/>
        <w:contextualSpacing/>
        <w:rPr/>
      </w:pPr>
      <w:r>
        <w:rPr/>
        <w:t>A02-01_04 Informationsübersicht waggon24</w:t>
      </w:r>
    </w:p>
    <w:p>
      <w:pPr>
        <w:pStyle w:val="ListParagraph"/>
        <w:numPr>
          <w:ilvl w:val="0"/>
          <w:numId w:val="3"/>
        </w:numPr>
        <w:spacing w:before="0" w:after="200"/>
        <w:contextualSpacing/>
        <w:rPr>
          <w:highlight w:val="yellow"/>
        </w:rPr>
      </w:pPr>
      <w:r>
        <w:rPr>
          <w:highlight w:val="yellow"/>
        </w:rPr>
        <w:t>A02-01_06 Schulungsplan</w:t>
      </w:r>
    </w:p>
    <w:p>
      <w:pPr>
        <w:pStyle w:val="ListParagraph"/>
        <w:numPr>
          <w:ilvl w:val="0"/>
          <w:numId w:val="3"/>
        </w:numPr>
        <w:spacing w:before="0" w:after="200"/>
        <w:contextualSpacing/>
        <w:rPr/>
      </w:pPr>
      <w:r>
        <w:rPr/>
        <w:t>FB02-01_02 Stellenbeschreibung</w:t>
      </w:r>
    </w:p>
    <w:p>
      <w:pPr>
        <w:pStyle w:val="ListParagraph"/>
        <w:numPr>
          <w:ilvl w:val="0"/>
          <w:numId w:val="3"/>
        </w:numPr>
        <w:spacing w:before="0" w:after="200"/>
        <w:contextualSpacing/>
        <w:rPr/>
      </w:pPr>
      <w:r>
        <w:rPr/>
        <w:t>FB02-01_03 Qualifikationsübersicht – Schulungsplan</w:t>
      </w:r>
    </w:p>
    <w:p>
      <w:pPr>
        <w:pStyle w:val="ListParagraph"/>
        <w:numPr>
          <w:ilvl w:val="0"/>
          <w:numId w:val="3"/>
        </w:numPr>
        <w:spacing w:before="0" w:after="200"/>
        <w:contextualSpacing/>
        <w:rPr/>
      </w:pPr>
      <w:r>
        <w:rPr/>
        <w:t>FB02-01_04 Nachweis Schulung und Unterweisung</w:t>
      </w:r>
    </w:p>
    <w:p>
      <w:pPr>
        <w:pStyle w:val="ListParagraph"/>
        <w:numPr>
          <w:ilvl w:val="0"/>
          <w:numId w:val="3"/>
        </w:numPr>
        <w:spacing w:before="0" w:after="200"/>
        <w:contextualSpacing/>
        <w:rPr/>
      </w:pPr>
      <w:r>
        <w:rPr/>
        <w:t>FB02-01_05 Übertragung Unternehmerpflichten</w:t>
      </w:r>
    </w:p>
    <w:p>
      <w:pPr>
        <w:pStyle w:val="ListParagraph"/>
        <w:numPr>
          <w:ilvl w:val="0"/>
          <w:numId w:val="3"/>
        </w:numPr>
        <w:spacing w:before="0" w:after="200"/>
        <w:contextualSpacing/>
        <w:rPr/>
      </w:pPr>
      <w:r>
        <w:rPr/>
        <w:t>FB02-01_07 Nachweis Bargeldausgabe</w:t>
      </w:r>
    </w:p>
    <w:p>
      <w:pPr>
        <w:pStyle w:val="ListParagraph"/>
        <w:numPr>
          <w:ilvl w:val="0"/>
          <w:numId w:val="3"/>
        </w:numPr>
        <w:spacing w:before="0" w:after="200"/>
        <w:contextualSpacing/>
        <w:rPr>
          <w:highlight w:val="yellow"/>
        </w:rPr>
      </w:pPr>
      <w:r>
        <w:rPr>
          <w:highlight w:val="yellow"/>
        </w:rPr>
        <w:t>FB02-01_08 Entbindung von Unternehmerpflichten</w:t>
      </w:r>
    </w:p>
    <w:p>
      <w:pPr>
        <w:pStyle w:val="ListParagraph"/>
        <w:numPr>
          <w:ilvl w:val="0"/>
          <w:numId w:val="3"/>
        </w:numPr>
        <w:suppressAutoHyphens w:val="false"/>
        <w:spacing w:before="0" w:after="200"/>
        <w:contextualSpacing/>
        <w:rPr/>
      </w:pPr>
      <w:r>
        <w:rPr/>
        <w:t>PD02-01_01 Personal</w:t>
      </w:r>
    </w:p>
    <w:sectPr>
      <w:headerReference w:type="default" r:id="rId2"/>
      <w:footerReference w:type="default" r:id="rId3"/>
      <w:type w:val="nextPage"/>
      <w:pgSz w:w="11906" w:h="16838"/>
      <w:pgMar w:left="1418" w:right="1134" w:gutter="0" w:header="709" w:top="1418"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Myriad Pro">
    <w:charset w:val="01"/>
    <w:family w:val="roman"/>
    <w:pitch w:val="variable"/>
  </w:font>
  <w:font w:name="Tahoma">
    <w:charset w:val="01"/>
    <w:family w:val="roman"/>
    <w:pitch w:val="variable"/>
  </w:font>
  <w:font w:name="Liberation Sans">
    <w:altName w:val="Arial"/>
    <w:charset w:val="01"/>
    <w:family w:val="swiss"/>
    <w:pitch w:val="variable"/>
  </w:font>
  <w:font w:name="EUAlbertina">
    <w:charset w:val="01"/>
    <w:family w:val="roman"/>
    <w:pitch w:val="variable"/>
  </w:font>
  <w:font w:name="MyriadPro-Regular">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00580759"/>
    </w:sdtPr>
    <w:sdtContent>
      <w:p>
        <w:pPr>
          <w:pStyle w:val="Normal"/>
          <w:pBdr>
            <w:top w:val="single" w:sz="4" w:space="1" w:color="000000"/>
          </w:pBdr>
          <w:spacing w:before="0" w:after="200"/>
          <w:rPr>
            <w:rFonts w:ascii="Myriad Pro" w:hAnsi="Myriad Pro"/>
            <w:color w:val="1F497D" w:themeColor="text2"/>
            <w:sz w:val="20"/>
            <w:szCs w:val="20"/>
          </w:rPr>
        </w:pPr>
        <w:r>
          <w:rPr>
            <w:color w:val="1F497D" w:themeColor="text2"/>
            <w:sz w:val="20"/>
            <w:szCs w:val="20"/>
          </w:rPr>
          <w:tab/>
          <w:t>VA 02-01_</w:t>
        </w:r>
        <w:r>
          <w:rPr>
            <w:color w:val="1F497D" w:themeColor="text2"/>
            <w:sz w:val="20"/>
            <w:szCs w:val="20"/>
            <w:highlight w:val="yellow"/>
          </w:rPr>
          <w:t>18.04.2022</w:t>
        </w:r>
        <w:r>
          <w:rPr>
            <w:color w:val="1F497D" w:themeColor="text2"/>
            <w:sz w:val="20"/>
            <w:szCs w:val="20"/>
            <w:highlight w:val="yellow"/>
          </w:rPr>
          <w:t>_F08</w:t>
        </w:r>
        <w:r>
          <w:rPr>
            <w:color w:val="1F497D" w:themeColor="text2"/>
            <w:sz w:val="20"/>
            <w:szCs w:val="20"/>
          </w:rPr>
          <w:t>_</w:t>
        </w:r>
        <w:r>
          <w:rPr>
            <w:color w:val="1F497D" w:themeColor="text2"/>
            <w:sz w:val="20"/>
            <w:szCs w:val="20"/>
          </w:rPr>
          <w:t>NW</w:t>
        </w:r>
        <w:r>
          <w:rPr>
            <w:color w:val="1F497D" w:themeColor="text2"/>
            <w:sz w:val="20"/>
            <w:szCs w:val="20"/>
          </w:rPr>
          <w:tab/>
          <w:t xml:space="preserve">Seite </w:t>
        </w:r>
        <w:r>
          <w:rPr>
            <w:color w:val="1F497D" w:themeColor="text2"/>
            <w:sz w:val="20"/>
            <w:szCs w:val="20"/>
          </w:rPr>
          <w:fldChar w:fldCharType="begin"/>
        </w:r>
        <w:r>
          <w:rPr>
            <w:sz w:val="20"/>
            <w:szCs w:val="20"/>
            <w:color w:val="1F497D"/>
          </w:rPr>
          <w:instrText xml:space="preserve"> PAGE </w:instrText>
        </w:r>
        <w:r>
          <w:rPr>
            <w:sz w:val="20"/>
            <w:szCs w:val="20"/>
            <w:color w:val="1F497D"/>
          </w:rPr>
          <w:fldChar w:fldCharType="separate"/>
        </w:r>
        <w:r>
          <w:rPr>
            <w:sz w:val="20"/>
            <w:szCs w:val="20"/>
            <w:color w:val="1F497D"/>
          </w:rPr>
          <w:t>5</w:t>
        </w:r>
        <w:r>
          <w:rPr>
            <w:sz w:val="20"/>
            <w:szCs w:val="20"/>
            <w:color w:val="1F497D"/>
          </w:rPr>
          <w:fldChar w:fldCharType="end"/>
        </w:r>
        <w:r>
          <w:rPr>
            <w:color w:val="1F497D" w:themeColor="text2"/>
            <w:sz w:val="20"/>
            <w:szCs w:val="20"/>
          </w:rPr>
          <w:t xml:space="preserve"> von </w:t>
        </w:r>
        <w:r>
          <w:rPr>
            <w:color w:val="1F497D" w:themeColor="text2"/>
            <w:sz w:val="20"/>
            <w:szCs w:val="20"/>
          </w:rPr>
          <w:fldChar w:fldCharType="begin"/>
        </w:r>
        <w:r>
          <w:rPr>
            <w:sz w:val="20"/>
            <w:szCs w:val="20"/>
            <w:color w:val="1F497D"/>
          </w:rPr>
          <w:instrText xml:space="preserve"> NUMPAGES </w:instrText>
        </w:r>
        <w:r>
          <w:rPr>
            <w:sz w:val="20"/>
            <w:szCs w:val="20"/>
            <w:color w:val="1F497D"/>
          </w:rPr>
          <w:fldChar w:fldCharType="separate"/>
        </w:r>
        <w:r>
          <w:rPr>
            <w:sz w:val="20"/>
            <w:szCs w:val="20"/>
            <w:color w:val="1F497D"/>
          </w:rPr>
          <w:t>7</w:t>
        </w:r>
        <w:r>
          <w:rPr>
            <w:sz w:val="20"/>
            <w:szCs w:val="20"/>
            <w:color w:val="1F497D"/>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erschrift2"/>
      <w:tabs>
        <w:tab w:val="clear" w:pos="708"/>
        <w:tab w:val="left" w:pos="3331" w:leader="none"/>
      </w:tabs>
      <w:spacing w:before="0" w:after="0"/>
      <w:rPr>
        <w:rFonts w:ascii="Myriad Pro" w:hAnsi="Myriad Pro"/>
        <w:caps/>
        <w:color w:val="808080" w:themeColor="background1" w:themeShade="80"/>
        <w:sz w:val="22"/>
        <w:szCs w:val="23"/>
      </w:rPr>
    </w:pPr>
    <w:r>
      <w:rPr>
        <w:caps/>
        <w:color w:val="808080" w:themeColor="background1" w:themeShade="80"/>
        <w:sz w:val="22"/>
        <w:szCs w:val="23"/>
      </w:rPr>
      <w:drawing>
        <wp:anchor behindDoc="1" distT="0" distB="0" distL="0" distR="0" simplePos="0" locked="0" layoutInCell="0" allowOverlap="1" relativeHeight="8">
          <wp:simplePos x="0" y="0"/>
          <wp:positionH relativeFrom="page">
            <wp:posOffset>8427085</wp:posOffset>
          </wp:positionH>
          <wp:positionV relativeFrom="page">
            <wp:posOffset>438150</wp:posOffset>
          </wp:positionV>
          <wp:extent cx="1710055" cy="546100"/>
          <wp:effectExtent l="0" t="0" r="0" b="0"/>
          <wp:wrapNone/>
          <wp:docPr id="1"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
                  <pic:cNvPicPr>
                    <a:picLocks noChangeAspect="1" noChangeArrowheads="1"/>
                  </pic:cNvPicPr>
                </pic:nvPicPr>
                <pic:blipFill>
                  <a:blip r:embed="rId1"/>
                  <a:stretch>
                    <a:fillRect/>
                  </a:stretch>
                </pic:blipFill>
                <pic:spPr bwMode="auto">
                  <a:xfrm>
                    <a:off x="0" y="0"/>
                    <a:ext cx="1710055" cy="546100"/>
                  </a:xfrm>
                  <a:prstGeom prst="rect">
                    <a:avLst/>
                  </a:prstGeom>
                </pic:spPr>
              </pic:pic>
            </a:graphicData>
          </a:graphic>
        </wp:anchor>
      </w:drawing>
      <w:drawing>
        <wp:anchor behindDoc="1" distT="0" distB="0" distL="0" distR="0" simplePos="0" locked="0" layoutInCell="0" allowOverlap="1" relativeHeight="22">
          <wp:simplePos x="0" y="0"/>
          <wp:positionH relativeFrom="page">
            <wp:posOffset>5309870</wp:posOffset>
          </wp:positionH>
          <wp:positionV relativeFrom="page">
            <wp:posOffset>337185</wp:posOffset>
          </wp:positionV>
          <wp:extent cx="1602105" cy="600075"/>
          <wp:effectExtent l="0" t="0" r="0" b="0"/>
          <wp:wrapNone/>
          <wp:docPr id="2" name="Grafik 4" descr="LOGOw2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descr="LOGOw24.pdf"/>
                  <pic:cNvPicPr>
                    <a:picLocks noChangeAspect="1" noChangeArrowheads="1"/>
                  </pic:cNvPicPr>
                </pic:nvPicPr>
                <pic:blipFill>
                  <a:blip r:embed="rId2"/>
                  <a:stretch>
                    <a:fillRect/>
                  </a:stretch>
                </pic:blipFill>
                <pic:spPr bwMode="auto">
                  <a:xfrm>
                    <a:off x="0" y="0"/>
                    <a:ext cx="1602105" cy="600075"/>
                  </a:xfrm>
                  <a:prstGeom prst="rect">
                    <a:avLst/>
                  </a:prstGeom>
                </pic:spPr>
              </pic:pic>
            </a:graphicData>
          </a:graphic>
        </wp:anchor>
      </w:drawing>
      <w:drawing>
        <wp:anchor behindDoc="1" distT="0" distB="0" distL="0" distR="0" simplePos="0" locked="0" layoutInCell="0" allowOverlap="1" relativeHeight="15">
          <wp:simplePos x="0" y="0"/>
          <wp:positionH relativeFrom="page">
            <wp:posOffset>8579485</wp:posOffset>
          </wp:positionH>
          <wp:positionV relativeFrom="page">
            <wp:posOffset>590550</wp:posOffset>
          </wp:positionV>
          <wp:extent cx="1710055" cy="546100"/>
          <wp:effectExtent l="0" t="0" r="0" b="0"/>
          <wp:wrapNone/>
          <wp:docPr id="3"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descr=""/>
                  <pic:cNvPicPr>
                    <a:picLocks noChangeAspect="1" noChangeArrowheads="1"/>
                  </pic:cNvPicPr>
                </pic:nvPicPr>
                <pic:blipFill>
                  <a:blip r:embed="rId3"/>
                  <a:stretch>
                    <a:fillRect/>
                  </a:stretch>
                </pic:blipFill>
                <pic:spPr bwMode="auto">
                  <a:xfrm>
                    <a:off x="0" y="0"/>
                    <a:ext cx="1710055" cy="546100"/>
                  </a:xfrm>
                  <a:prstGeom prst="rect">
                    <a:avLst/>
                  </a:prstGeom>
                </pic:spPr>
              </pic:pic>
            </a:graphicData>
          </a:graphic>
        </wp:anchor>
      </w:drawing>
    </w:r>
    <w:r>
      <w:rPr>
        <w:caps/>
        <w:color w:val="808080" w:themeColor="background1" w:themeShade="80"/>
        <w:sz w:val="22"/>
        <w:szCs w:val="23"/>
      </w:rPr>
      <w:t xml:space="preserve">Qualitätsmanagement-System </w:t>
    </w:r>
  </w:p>
  <w:p>
    <w:pPr>
      <w:pStyle w:val="Berschrift3"/>
      <w:spacing w:lineRule="auto" w:line="240" w:before="200" w:after="240"/>
      <w:rPr>
        <w:rFonts w:ascii="Myriad Pro" w:hAnsi="Myriad Pro"/>
      </w:rPr>
    </w:pPr>
    <w:sdt>
      <w:sdtPr>
        <w:id w:val="2098644214"/>
        <w:dataBinding w:prefixMappings="xmlns:ns0='http://purl.org/dc/elements/1.1/' xmlns:ns1='http://schemas.openxmlformats.org/package/2006/metadata/core-properties' " w:xpath="/ns1:coreProperties[1]/ns0:title[1]" w:storeItemID="{6C3C8BC8-F283-45AE-878A-BAB7291924A1}"/>
        <w:alias w:val="Titel"/>
        <w:text/>
      </w:sdtPr>
      <w:sdtContent>
        <w:r>
          <w:rPr/>
          <w:t>VA Personalmanagement</w:t>
        </w:r>
      </w:sdtContent>
    </w:sdt>
    <w:r>
      <w:rPr/>
      <mc:AlternateContent>
        <mc:Choice Requires="wps">
          <w:drawing>
            <wp:inline distT="0" distB="0" distL="0" distR="0">
              <wp:extent cx="5760720" cy="6350"/>
              <wp:effectExtent l="0" t="0" r="0" b="152400"/>
              <wp:docPr id="4" name=""/>
              <a:graphic xmlns:a="http://schemas.openxmlformats.org/drawingml/2006/main">
                <a:graphicData uri="http://schemas.microsoft.com/office/word/2010/wordprocessingShape">
                  <wps:wsp>
                    <wps:cNvSpPr/>
                    <wps:nvSpPr>
                      <wps:cNvPr id="0" name=""/>
                      <wps:cNvSpPr/>
                    </wps:nvSpPr>
                    <wps:spPr>
                      <a:xfrm>
                        <a:off x="0" y="0"/>
                        <a:ext cx="5760720" cy="6480"/>
                      </a:xfrm>
                      <a:prstGeom prst="rect">
                        <a:avLst/>
                      </a:prstGeom>
                      <a:solidFill>
                        <a:srgbClr val="000000"/>
                      </a:solidFill>
                      <a:ln w="0">
                        <a:noFill/>
                      </a:ln>
                    </wps:spPr>
                    <wps:bodyPr/>
                  </wps:wsp>
                </a:graphicData>
              </a:graphic>
              <wp14:sizeRelH relativeFrom="page">
                <wp14:pctWidth>100000</wp14:pctWidth>
              </wp14:sizeRelH>
            </wp:inline>
          </w:drawing>
        </mc:Choice>
        <mc:Fallback>
          <w:pict>
            <v:rect id="shape_0" fillcolor="black" stroked="f" o:allowincell="f" style="position:absolute;margin-left:0pt;margin-top:-12.55pt;width:453.55pt;height:0.45pt;mso-wrap-style:none;v-text-anchor:middle;mso-position-horizontal:center;mso-position-vertical:top">
              <v:fill o:detectmouseclick="t" type="solid" color2="white"/>
              <v:stroke color="#3465a4" joinstyle="round" endcap="flat"/>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32" w:hanging="432"/>
      </w:pPr>
      <w:rPr>
        <w:rFonts w:ascii="Symbol" w:hAnsi="Symbol" w:cs="Symbol" w:hint="default"/>
        <w:sz w:val="22"/>
        <w:i w:val="false"/>
        <w:b w:val="false"/>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0"/>
        </w:tabs>
        <w:ind w:left="360" w:hanging="360"/>
      </w:pPr>
      <w:rPr>
        <w:rFonts w:ascii="Symbol" w:hAnsi="Symbol" w:cs="Symbol" w:hint="default"/>
        <w:sz w:val="22"/>
        <w:i w:val="false"/>
        <w:b w:val="fals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67" w:hanging="360"/>
      </w:pPr>
      <w:rPr>
        <w:rFonts w:ascii="Symbol" w:hAnsi="Symbol" w:cs="Symbol" w:hint="default"/>
      </w:rPr>
    </w:lvl>
    <w:lvl w:ilvl="1">
      <w:start w:val="1"/>
      <w:numFmt w:val="bullet"/>
      <w:lvlText w:val="o"/>
      <w:lvlJc w:val="left"/>
      <w:pPr>
        <w:tabs>
          <w:tab w:val="num" w:pos="0"/>
        </w:tabs>
        <w:ind w:left="1487" w:hanging="360"/>
      </w:pPr>
      <w:rPr>
        <w:rFonts w:ascii="Courier New" w:hAnsi="Courier New" w:cs="Courier New" w:hint="default"/>
      </w:rPr>
    </w:lvl>
    <w:lvl w:ilvl="2">
      <w:start w:val="1"/>
      <w:numFmt w:val="bullet"/>
      <w:lvlText w:val=""/>
      <w:lvlJc w:val="left"/>
      <w:pPr>
        <w:tabs>
          <w:tab w:val="num" w:pos="0"/>
        </w:tabs>
        <w:ind w:left="2207" w:hanging="360"/>
      </w:pPr>
      <w:rPr>
        <w:rFonts w:ascii="Wingdings" w:hAnsi="Wingdings" w:cs="Wingdings" w:hint="default"/>
      </w:rPr>
    </w:lvl>
    <w:lvl w:ilvl="3">
      <w:start w:val="1"/>
      <w:numFmt w:val="bullet"/>
      <w:lvlText w:val=""/>
      <w:lvlJc w:val="left"/>
      <w:pPr>
        <w:tabs>
          <w:tab w:val="num" w:pos="0"/>
        </w:tabs>
        <w:ind w:left="2927" w:hanging="360"/>
      </w:pPr>
      <w:rPr>
        <w:rFonts w:ascii="Symbol" w:hAnsi="Symbol" w:cs="Symbol" w:hint="default"/>
      </w:rPr>
    </w:lvl>
    <w:lvl w:ilvl="4">
      <w:start w:val="1"/>
      <w:numFmt w:val="bullet"/>
      <w:lvlText w:val="o"/>
      <w:lvlJc w:val="left"/>
      <w:pPr>
        <w:tabs>
          <w:tab w:val="num" w:pos="0"/>
        </w:tabs>
        <w:ind w:left="3647" w:hanging="360"/>
      </w:pPr>
      <w:rPr>
        <w:rFonts w:ascii="Courier New" w:hAnsi="Courier New" w:cs="Courier New" w:hint="default"/>
      </w:rPr>
    </w:lvl>
    <w:lvl w:ilvl="5">
      <w:start w:val="1"/>
      <w:numFmt w:val="bullet"/>
      <w:lvlText w:val=""/>
      <w:lvlJc w:val="left"/>
      <w:pPr>
        <w:tabs>
          <w:tab w:val="num" w:pos="0"/>
        </w:tabs>
        <w:ind w:left="4367" w:hanging="360"/>
      </w:pPr>
      <w:rPr>
        <w:rFonts w:ascii="Wingdings" w:hAnsi="Wingdings" w:cs="Wingdings" w:hint="default"/>
      </w:rPr>
    </w:lvl>
    <w:lvl w:ilvl="6">
      <w:start w:val="1"/>
      <w:numFmt w:val="bullet"/>
      <w:lvlText w:val=""/>
      <w:lvlJc w:val="left"/>
      <w:pPr>
        <w:tabs>
          <w:tab w:val="num" w:pos="0"/>
        </w:tabs>
        <w:ind w:left="5087" w:hanging="360"/>
      </w:pPr>
      <w:rPr>
        <w:rFonts w:ascii="Symbol" w:hAnsi="Symbol" w:cs="Symbol" w:hint="default"/>
      </w:rPr>
    </w:lvl>
    <w:lvl w:ilvl="7">
      <w:start w:val="1"/>
      <w:numFmt w:val="bullet"/>
      <w:lvlText w:val="o"/>
      <w:lvlJc w:val="left"/>
      <w:pPr>
        <w:tabs>
          <w:tab w:val="num" w:pos="0"/>
        </w:tabs>
        <w:ind w:left="5807" w:hanging="360"/>
      </w:pPr>
      <w:rPr>
        <w:rFonts w:ascii="Courier New" w:hAnsi="Courier New" w:cs="Courier New" w:hint="default"/>
      </w:rPr>
    </w:lvl>
    <w:lvl w:ilvl="8">
      <w:start w:val="1"/>
      <w:numFmt w:val="bullet"/>
      <w:lvlText w:val=""/>
      <w:lvlJc w:val="left"/>
      <w:pPr>
        <w:tabs>
          <w:tab w:val="num" w:pos="0"/>
        </w:tabs>
        <w:ind w:left="6527"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yriad Pro" w:hAnsi="Myriad Pro" w:eastAsia="" w:cs="" w:asciiTheme="minorHAnsi" w:cstheme="minorBidi" w:eastAsiaTheme="minorEastAsia" w:hAnsiTheme="minorHAnsi"/>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3607"/>
    <w:pPr>
      <w:widowControl/>
      <w:suppressAutoHyphens w:val="false"/>
      <w:bidi w:val="0"/>
      <w:spacing w:lineRule="auto" w:line="276" w:before="0" w:after="200"/>
      <w:jc w:val="both"/>
    </w:pPr>
    <w:rPr>
      <w:rFonts w:ascii="Myriad Pro" w:hAnsi="Myriad Pro" w:eastAsia="" w:cs="" w:asciiTheme="minorHAnsi" w:cstheme="minorBidi" w:eastAsiaTheme="minorEastAsia" w:hAnsiTheme="minorHAnsi"/>
      <w:color w:val="auto"/>
      <w:kern w:val="0"/>
      <w:sz w:val="22"/>
      <w:szCs w:val="22"/>
      <w:lang w:val="de-DE" w:eastAsia="de-DE" w:bidi="ar-SA"/>
    </w:rPr>
  </w:style>
  <w:style w:type="paragraph" w:styleId="Berschrift1">
    <w:name w:val="Heading 1"/>
    <w:basedOn w:val="Normal"/>
    <w:next w:val="Normal"/>
    <w:link w:val="Berschrift1Zchn"/>
    <w:uiPriority w:val="9"/>
    <w:qFormat/>
    <w:rsid w:val="00ce6e55"/>
    <w:pPr>
      <w:keepNext w:val="true"/>
      <w:keepLines/>
      <w:spacing w:before="600" w:after="240"/>
      <w:outlineLvl w:val="0"/>
    </w:pPr>
    <w:rPr>
      <w:rFonts w:ascii="Myriad Pro" w:hAnsi="Myriad Pro" w:eastAsia="" w:cs="" w:asciiTheme="majorHAnsi" w:cstheme="majorBidi" w:eastAsiaTheme="majorEastAsia" w:hAnsiTheme="majorHAnsi"/>
      <w:b/>
      <w:bCs/>
      <w:color w:val="1F497D" w:themeColor="text2"/>
      <w:sz w:val="28"/>
      <w:szCs w:val="28"/>
    </w:rPr>
  </w:style>
  <w:style w:type="paragraph" w:styleId="Berschrift2">
    <w:name w:val="Heading 2"/>
    <w:basedOn w:val="Normal"/>
    <w:next w:val="Normal"/>
    <w:link w:val="Berschrift2Zchn"/>
    <w:uiPriority w:val="9"/>
    <w:unhideWhenUsed/>
    <w:qFormat/>
    <w:rsid w:val="00895e70"/>
    <w:pPr>
      <w:keepNext w:val="true"/>
      <w:keepLines/>
      <w:spacing w:before="200" w:after="0"/>
      <w:outlineLvl w:val="1"/>
    </w:pPr>
    <w:rPr>
      <w:rFonts w:ascii="Myriad Pro" w:hAnsi="Myriad Pro" w:eastAsia="" w:cs="" w:asciiTheme="majorHAnsi" w:cstheme="majorBidi" w:eastAsiaTheme="majorEastAsia" w:hAnsiTheme="majorHAnsi"/>
      <w:b/>
      <w:bCs/>
      <w:color w:val="2F70BF"/>
      <w:sz w:val="26"/>
      <w:szCs w:val="26"/>
    </w:rPr>
  </w:style>
  <w:style w:type="paragraph" w:styleId="Berschrift3">
    <w:name w:val="Heading 3"/>
    <w:basedOn w:val="Normal"/>
    <w:next w:val="Normal"/>
    <w:link w:val="Berschrift3Zchn"/>
    <w:uiPriority w:val="9"/>
    <w:unhideWhenUsed/>
    <w:qFormat/>
    <w:rsid w:val="00e32aa4"/>
    <w:pPr>
      <w:keepNext w:val="true"/>
      <w:keepLines/>
      <w:spacing w:before="200" w:after="0"/>
      <w:outlineLvl w:val="2"/>
    </w:pPr>
    <w:rPr>
      <w:rFonts w:ascii="Myriad Pro" w:hAnsi="Myriad Pro" w:eastAsia="" w:cs="" w:asciiTheme="majorHAnsi" w:cstheme="majorBidi" w:eastAsiaTheme="majorEastAsia" w:hAnsiTheme="majorHAnsi"/>
      <w:b/>
      <w:bCs/>
      <w:color w:val="2F70BF"/>
    </w:rPr>
  </w:style>
  <w:style w:type="paragraph" w:styleId="Berschrift4">
    <w:name w:val="Heading 4"/>
    <w:basedOn w:val="Normal"/>
    <w:next w:val="Normal"/>
    <w:link w:val="Berschrift4Zchn"/>
    <w:uiPriority w:val="9"/>
    <w:unhideWhenUsed/>
    <w:qFormat/>
    <w:rsid w:val="00e32aa4"/>
    <w:pPr>
      <w:keepNext w:val="true"/>
      <w:keepLines/>
      <w:spacing w:before="200" w:after="0"/>
      <w:outlineLvl w:val="3"/>
    </w:pPr>
    <w:rPr>
      <w:rFonts w:ascii="Myriad Pro" w:hAnsi="Myriad Pro" w:eastAsia="" w:cs="" w:asciiTheme="majorHAnsi" w:cstheme="majorBidi" w:eastAsiaTheme="majorEastAsia" w:hAnsiTheme="majorHAnsi"/>
      <w:b/>
      <w:bCs/>
      <w:i/>
      <w:iCs/>
      <w:color w:val="2F70BF"/>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rsid w:val="000144c1"/>
    <w:rPr>
      <w:rFonts w:ascii="Tahoma" w:hAnsi="Tahoma" w:cs="Tahoma"/>
      <w:sz w:val="16"/>
      <w:szCs w:val="16"/>
    </w:rPr>
  </w:style>
  <w:style w:type="character" w:styleId="KopfzeileZchn" w:customStyle="1">
    <w:name w:val="Kopfzeile Zchn"/>
    <w:basedOn w:val="DefaultParagraphFont"/>
    <w:uiPriority w:val="99"/>
    <w:qFormat/>
    <w:rsid w:val="000144c1"/>
    <w:rPr/>
  </w:style>
  <w:style w:type="character" w:styleId="FuzeileZchn" w:customStyle="1">
    <w:name w:val="Fußzeile Zchn"/>
    <w:basedOn w:val="DefaultParagraphFont"/>
    <w:uiPriority w:val="99"/>
    <w:qFormat/>
    <w:rsid w:val="000144c1"/>
    <w:rPr/>
  </w:style>
  <w:style w:type="character" w:styleId="Berschrift1Zchn" w:customStyle="1">
    <w:name w:val="Überschrift 1 Zchn"/>
    <w:basedOn w:val="DefaultParagraphFont"/>
    <w:uiPriority w:val="9"/>
    <w:qFormat/>
    <w:rsid w:val="00ce6e55"/>
    <w:rPr>
      <w:rFonts w:ascii="Myriad Pro" w:hAnsi="Myriad Pro" w:eastAsia="" w:cs="" w:asciiTheme="majorHAnsi" w:cstheme="majorBidi" w:eastAsiaTheme="majorEastAsia" w:hAnsiTheme="majorHAnsi"/>
      <w:b/>
      <w:bCs/>
      <w:color w:val="1F497D" w:themeColor="text2"/>
      <w:sz w:val="28"/>
      <w:szCs w:val="28"/>
    </w:rPr>
  </w:style>
  <w:style w:type="character" w:styleId="Internetverknpfung">
    <w:name w:val="Internetverknüpfung"/>
    <w:basedOn w:val="DefaultParagraphFont"/>
    <w:uiPriority w:val="99"/>
    <w:unhideWhenUsed/>
    <w:rsid w:val="00b07ed7"/>
    <w:rPr>
      <w:color w:val="0000FF" w:themeColor="hyperlink"/>
      <w:u w:val="single"/>
    </w:rPr>
  </w:style>
  <w:style w:type="character" w:styleId="Berschrift2Zchn" w:customStyle="1">
    <w:name w:val="Überschrift 2 Zchn"/>
    <w:basedOn w:val="DefaultParagraphFont"/>
    <w:uiPriority w:val="9"/>
    <w:qFormat/>
    <w:rsid w:val="00895e70"/>
    <w:rPr>
      <w:rFonts w:ascii="Myriad Pro" w:hAnsi="Myriad Pro" w:eastAsia="" w:cs="" w:asciiTheme="majorHAnsi" w:cstheme="majorBidi" w:eastAsiaTheme="majorEastAsia" w:hAnsiTheme="majorHAnsi"/>
      <w:b/>
      <w:bCs/>
      <w:color w:val="2F70BF"/>
      <w:sz w:val="26"/>
      <w:szCs w:val="26"/>
    </w:rPr>
  </w:style>
  <w:style w:type="character" w:styleId="Berschrift3Zchn" w:customStyle="1">
    <w:name w:val="Überschrift 3 Zchn"/>
    <w:basedOn w:val="DefaultParagraphFont"/>
    <w:uiPriority w:val="9"/>
    <w:qFormat/>
    <w:rsid w:val="00e32aa4"/>
    <w:rPr>
      <w:rFonts w:ascii="Myriad Pro" w:hAnsi="Myriad Pro" w:eastAsia="" w:cs="" w:asciiTheme="majorHAnsi" w:cstheme="majorBidi" w:eastAsiaTheme="majorEastAsia" w:hAnsiTheme="majorHAnsi"/>
      <w:b/>
      <w:bCs/>
      <w:color w:val="2F70BF"/>
    </w:rPr>
  </w:style>
  <w:style w:type="character" w:styleId="PlaceholderText">
    <w:name w:val="Placeholder Text"/>
    <w:basedOn w:val="DefaultParagraphFont"/>
    <w:uiPriority w:val="99"/>
    <w:semiHidden/>
    <w:qFormat/>
    <w:rsid w:val="004d3dd9"/>
    <w:rPr>
      <w:color w:val="808080"/>
    </w:rPr>
  </w:style>
  <w:style w:type="character" w:styleId="Berschrift4Zchn" w:customStyle="1">
    <w:name w:val="Überschrift 4 Zchn"/>
    <w:basedOn w:val="DefaultParagraphFont"/>
    <w:uiPriority w:val="9"/>
    <w:qFormat/>
    <w:rsid w:val="00e32aa4"/>
    <w:rPr>
      <w:rFonts w:ascii="Myriad Pro" w:hAnsi="Myriad Pro" w:eastAsia="" w:cs="" w:asciiTheme="majorHAnsi" w:cstheme="majorBidi" w:eastAsiaTheme="majorEastAsia" w:hAnsiTheme="majorHAnsi"/>
      <w:b/>
      <w:bCs/>
      <w:i/>
      <w:iCs/>
      <w:color w:val="2F70BF"/>
    </w:rPr>
  </w:style>
  <w:style w:type="character" w:styleId="Verzeichnissprung">
    <w:name w:val="Verzeichnissprung"/>
    <w:qFormat/>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BalloonText">
    <w:name w:val="Balloon Text"/>
    <w:basedOn w:val="Normal"/>
    <w:link w:val="SprechblasentextZchn"/>
    <w:uiPriority w:val="99"/>
    <w:semiHidden/>
    <w:unhideWhenUsed/>
    <w:qFormat/>
    <w:rsid w:val="000144c1"/>
    <w:pPr>
      <w:spacing w:lineRule="auto" w:line="240" w:before="0" w:after="0"/>
    </w:pPr>
    <w:rPr>
      <w:rFonts w:ascii="Tahoma" w:hAnsi="Tahoma" w:cs="Tahoma"/>
      <w:sz w:val="16"/>
      <w:szCs w:val="16"/>
    </w:rPr>
  </w:style>
  <w:style w:type="paragraph" w:styleId="KopfundFuzeile">
    <w:name w:val="Kopf- und Fußzeile"/>
    <w:basedOn w:val="Normal"/>
    <w:qFormat/>
    <w:pPr/>
    <w:rPr/>
  </w:style>
  <w:style w:type="paragraph" w:styleId="Kopfzeile">
    <w:name w:val="Header"/>
    <w:basedOn w:val="Normal"/>
    <w:link w:val="KopfzeileZchn"/>
    <w:unhideWhenUsed/>
    <w:rsid w:val="000144c1"/>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0144c1"/>
    <w:pPr>
      <w:tabs>
        <w:tab w:val="clear" w:pos="708"/>
        <w:tab w:val="center" w:pos="4536" w:leader="none"/>
        <w:tab w:val="right" w:pos="9072" w:leader="none"/>
      </w:tabs>
      <w:spacing w:lineRule="auto" w:line="240" w:before="0" w:after="0"/>
    </w:pPr>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unhideWhenUsed/>
    <w:qFormat/>
    <w:rsid w:val="00b07ed7"/>
    <w:pPr>
      <w:outlineLvl w:val="9"/>
    </w:pPr>
    <w:rPr/>
  </w:style>
  <w:style w:type="paragraph" w:styleId="Inhaltsverzeichnis2">
    <w:name w:val="TOC 2"/>
    <w:basedOn w:val="Normal"/>
    <w:next w:val="Normal"/>
    <w:autoRedefine/>
    <w:uiPriority w:val="39"/>
    <w:unhideWhenUsed/>
    <w:qFormat/>
    <w:rsid w:val="00b07ed7"/>
    <w:pPr>
      <w:spacing w:before="0" w:after="100"/>
      <w:ind w:left="220" w:hanging="0"/>
    </w:pPr>
    <w:rPr/>
  </w:style>
  <w:style w:type="paragraph" w:styleId="Inhaltsverzeichnis1">
    <w:name w:val="TOC 1"/>
    <w:basedOn w:val="Normal"/>
    <w:next w:val="Normal"/>
    <w:autoRedefine/>
    <w:uiPriority w:val="39"/>
    <w:unhideWhenUsed/>
    <w:qFormat/>
    <w:rsid w:val="00b07ed7"/>
    <w:pPr>
      <w:spacing w:before="0" w:after="100"/>
    </w:pPr>
    <w:rPr/>
  </w:style>
  <w:style w:type="paragraph" w:styleId="Inhaltsverzeichnis3">
    <w:name w:val="TOC 3"/>
    <w:basedOn w:val="Normal"/>
    <w:next w:val="Normal"/>
    <w:autoRedefine/>
    <w:uiPriority w:val="39"/>
    <w:unhideWhenUsed/>
    <w:qFormat/>
    <w:rsid w:val="00b07ed7"/>
    <w:pPr>
      <w:spacing w:before="0" w:after="100"/>
      <w:ind w:left="440" w:hanging="0"/>
    </w:pPr>
    <w:rPr/>
  </w:style>
  <w:style w:type="paragraph" w:styleId="ListParagraph">
    <w:name w:val="List Paragraph"/>
    <w:basedOn w:val="Normal"/>
    <w:qFormat/>
    <w:rsid w:val="005d29d2"/>
    <w:pPr>
      <w:suppressAutoHyphens w:val="true"/>
      <w:ind w:left="720" w:hanging="0"/>
    </w:pPr>
    <w:rPr>
      <w:rFonts w:ascii="Myriad Pro" w:hAnsi="Myriad Pro" w:eastAsia="Myriad Pro" w:cs="Myriad Pro"/>
      <w:lang w:eastAsia="ar-SA"/>
    </w:rPr>
  </w:style>
  <w:style w:type="paragraph" w:styleId="NoSpacing">
    <w:name w:val="No Spacing"/>
    <w:uiPriority w:val="1"/>
    <w:qFormat/>
    <w:rsid w:val="002c1966"/>
    <w:pPr>
      <w:widowControl/>
      <w:bidi w:val="0"/>
      <w:spacing w:lineRule="auto" w:line="240" w:before="0" w:after="0"/>
      <w:jc w:val="both"/>
    </w:pPr>
    <w:rPr>
      <w:rFonts w:ascii="Myriad Pro" w:hAnsi="Myriad Pro" w:eastAsia="" w:cs="" w:asciiTheme="minorHAnsi" w:cstheme="minorBidi" w:eastAsiaTheme="minorEastAsia" w:hAnsiTheme="minorHAnsi"/>
      <w:color w:val="auto"/>
      <w:kern w:val="0"/>
      <w:sz w:val="22"/>
      <w:szCs w:val="22"/>
      <w:lang w:val="de-DE" w:eastAsia="de-DE" w:bidi="ar-SA"/>
    </w:rPr>
  </w:style>
  <w:style w:type="paragraph" w:styleId="CM4" w:customStyle="1">
    <w:name w:val="CM4"/>
    <w:basedOn w:val="Normal"/>
    <w:next w:val="Normal"/>
    <w:uiPriority w:val="99"/>
    <w:qFormat/>
    <w:rsid w:val="005d6774"/>
    <w:pPr>
      <w:spacing w:lineRule="auto" w:line="240" w:before="0" w:after="0"/>
      <w:jc w:val="left"/>
    </w:pPr>
    <w:rPr>
      <w:rFonts w:ascii="EUAlbertina" w:hAnsi="EUAlbertina" w:eastAsia="Myriad Pro" w:eastAsiaTheme="minorHAnsi"/>
      <w:sz w:val="24"/>
      <w:szCs w:val="24"/>
      <w:lang w:eastAsia="en-U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cf75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Relationship Id="rId3" Type="http://schemas.openxmlformats.org/officeDocument/2006/relationships/image" Target="media/image1.wmf"/>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24">
      <a:majorFont>
        <a:latin typeface="Myriad Pro"/>
        <a:ea typeface=""/>
        <a:cs typeface=""/>
      </a:majorFont>
      <a:minorFont>
        <a:latin typeface="Myriad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6E1B-4867-45AB-8DAE-C61BEF69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FB01-01_01_Vorlage_VA_AA_TW_20120413_F00_bh.dotx</Template>
  <TotalTime>3</TotalTime>
  <Application>LibreOffice/7.3.5.2$Linux_X86_64 LibreOffice_project/30$Build-2</Application>
  <AppVersion>15.0000</AppVersion>
  <Pages>7</Pages>
  <Words>1076</Words>
  <Characters>7612</Characters>
  <CharactersWithSpaces>8455</CharactersWithSpaces>
  <Paragraphs>192</Paragraphs>
  <Company>waggon24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2018-03-14T10:18:00Z</dcterms:created>
  <dc:creator>Benno Hein</dc:creator>
  <dc:description/>
  <dc:language>de-DE</dc:language>
  <cp:lastModifiedBy/>
  <cp:lastPrinted>2018-11-16T11:43:00Z</cp:lastPrinted>
  <dcterms:modified xsi:type="dcterms:W3CDTF">2022-08-16T13:33:54Z</dcterms:modified>
  <cp:revision>6</cp:revision>
  <dc:subject/>
  <dc:title>VA Personalmanagement</dc:title>
</cp:coreProperties>
</file>

<file path=docProps/custom.xml><?xml version="1.0" encoding="utf-8"?>
<Properties xmlns="http://schemas.openxmlformats.org/officeDocument/2006/custom-properties" xmlns:vt="http://schemas.openxmlformats.org/officeDocument/2006/docPropsVTypes"/>
</file>