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wmf" ContentType="image/x-wmf"/>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sdt>
      <w:sdtPr>
        <w:docPartObj>
          <w:docPartGallery w:val="Table of Contents"/>
          <w:docPartUnique w:val="true"/>
        </w:docPartObj>
      </w:sdtPr>
      <w:sdtContent>
        <w:p>
          <w:pPr>
            <w:pStyle w:val="Inhaltsverzeichnisberschrift"/>
            <w:spacing w:before="600" w:after="240"/>
            <w:rPr>
              <w:rFonts w:ascii="Myriad Pro" w:hAnsi="Myriad Pro"/>
            </w:rPr>
          </w:pPr>
          <w:r>
            <w:rPr/>
            <w:t>Inhaltsverzeichnis</w:t>
          </w:r>
        </w:p>
        <w:p>
          <w:pPr>
            <w:pStyle w:val="Inhaltsverzeichnis1"/>
            <w:tabs>
              <w:tab w:val="clear" w:pos="708"/>
              <w:tab w:val="right" w:pos="9062" w:leader="dot"/>
            </w:tabs>
            <w:rPr>
              <w:lang w:eastAsia="de-DE"/>
            </w:rPr>
          </w:pPr>
          <w:r>
            <w:fldChar w:fldCharType="begin"/>
          </w:r>
          <w:r>
            <w:rPr>
              <w:webHidden/>
              <w:rStyle w:val="Verzeichnissprung"/>
            </w:rPr>
            <w:instrText xml:space="preserve"> TOC \z \o "1-3" \u \h</w:instrText>
          </w:r>
          <w:r>
            <w:rPr>
              <w:webHidden/>
              <w:rStyle w:val="Verzeichnissprung"/>
            </w:rPr>
            <w:fldChar w:fldCharType="separate"/>
          </w:r>
          <w:hyperlink w:anchor="_Toc446344708">
            <w:r>
              <w:rPr>
                <w:webHidden/>
                <w:rStyle w:val="Verzeichnissprung"/>
              </w:rPr>
              <w:t>1. Zweck</w:t>
            </w:r>
            <w:r>
              <w:rPr>
                <w:webHidden/>
              </w:rPr>
              <w:fldChar w:fldCharType="begin"/>
            </w:r>
            <w:r>
              <w:rPr>
                <w:webHidden/>
              </w:rPr>
              <w:instrText xml:space="preserve">PAGEREF _Toc446344708 \h</w:instrText>
            </w:r>
            <w:r>
              <w:rPr>
                <w:webHidden/>
              </w:rPr>
              <w:fldChar w:fldCharType="separate"/>
            </w:r>
            <w:r>
              <w:rPr>
                <w:rStyle w:val="Verzeichnissprung"/>
                <w:vanish w:val="false"/>
              </w:rPr>
              <w:tab/>
              <w:t>2</w:t>
            </w:r>
            <w:r>
              <w:rPr>
                <w:webHidden/>
              </w:rPr>
              <w:fldChar w:fldCharType="end"/>
            </w:r>
          </w:hyperlink>
        </w:p>
        <w:p>
          <w:pPr>
            <w:pStyle w:val="Inhaltsverzeichnis1"/>
            <w:tabs>
              <w:tab w:val="clear" w:pos="708"/>
              <w:tab w:val="right" w:pos="9062" w:leader="dot"/>
            </w:tabs>
            <w:rPr>
              <w:lang w:eastAsia="de-DE"/>
            </w:rPr>
          </w:pPr>
          <w:hyperlink w:anchor="_Toc446344709">
            <w:r>
              <w:rPr>
                <w:webHidden/>
                <w:rStyle w:val="Verzeichnissprung"/>
              </w:rPr>
              <w:t>2. Geltungsbereich</w:t>
            </w:r>
            <w:r>
              <w:rPr>
                <w:webHidden/>
              </w:rPr>
              <w:fldChar w:fldCharType="begin"/>
            </w:r>
            <w:r>
              <w:rPr>
                <w:webHidden/>
              </w:rPr>
              <w:instrText xml:space="preserve">PAGEREF _Toc446344709 \h</w:instrText>
            </w:r>
            <w:r>
              <w:rPr>
                <w:webHidden/>
              </w:rPr>
              <w:fldChar w:fldCharType="separate"/>
            </w:r>
            <w:r>
              <w:rPr>
                <w:rStyle w:val="Verzeichnissprung"/>
                <w:vanish w:val="false"/>
              </w:rPr>
              <w:tab/>
              <w:t>2</w:t>
            </w:r>
            <w:r>
              <w:rPr>
                <w:webHidden/>
              </w:rPr>
              <w:fldChar w:fldCharType="end"/>
            </w:r>
          </w:hyperlink>
        </w:p>
        <w:p>
          <w:pPr>
            <w:pStyle w:val="Inhaltsverzeichnis1"/>
            <w:tabs>
              <w:tab w:val="clear" w:pos="708"/>
              <w:tab w:val="right" w:pos="9062" w:leader="dot"/>
            </w:tabs>
            <w:rPr>
              <w:lang w:eastAsia="de-DE"/>
            </w:rPr>
          </w:pPr>
          <w:hyperlink w:anchor="_Toc446344710">
            <w:r>
              <w:rPr>
                <w:webHidden/>
                <w:rStyle w:val="Verzeichnissprung"/>
              </w:rPr>
              <w:t>3 Verantwortlichkeiten</w:t>
            </w:r>
            <w:r>
              <w:rPr>
                <w:webHidden/>
              </w:rPr>
              <w:fldChar w:fldCharType="begin"/>
            </w:r>
            <w:r>
              <w:rPr>
                <w:webHidden/>
              </w:rPr>
              <w:instrText xml:space="preserve">PAGEREF _Toc446344710 \h</w:instrText>
            </w:r>
            <w:r>
              <w:rPr>
                <w:webHidden/>
              </w:rPr>
              <w:fldChar w:fldCharType="separate"/>
            </w:r>
            <w:r>
              <w:rPr>
                <w:rStyle w:val="Verzeichnissprung"/>
                <w:vanish w:val="false"/>
              </w:rPr>
              <w:tab/>
              <w:t>2</w:t>
            </w:r>
            <w:r>
              <w:rPr>
                <w:webHidden/>
              </w:rPr>
              <w:fldChar w:fldCharType="end"/>
            </w:r>
          </w:hyperlink>
        </w:p>
        <w:p>
          <w:pPr>
            <w:pStyle w:val="Inhaltsverzeichnis1"/>
            <w:tabs>
              <w:tab w:val="clear" w:pos="708"/>
              <w:tab w:val="right" w:pos="9062" w:leader="dot"/>
            </w:tabs>
            <w:rPr>
              <w:lang w:eastAsia="de-DE"/>
            </w:rPr>
          </w:pPr>
          <w:hyperlink w:anchor="_Toc446344711">
            <w:r>
              <w:rPr>
                <w:webHidden/>
                <w:rStyle w:val="Verzeichnissprung"/>
              </w:rPr>
              <w:t>4. Beschreibung</w:t>
            </w:r>
            <w:r>
              <w:rPr>
                <w:webHidden/>
              </w:rPr>
              <w:fldChar w:fldCharType="begin"/>
            </w:r>
            <w:r>
              <w:rPr>
                <w:webHidden/>
              </w:rPr>
              <w:instrText xml:space="preserve">PAGEREF _Toc446344711 \h</w:instrText>
            </w:r>
            <w:r>
              <w:rPr>
                <w:webHidden/>
              </w:rPr>
              <w:fldChar w:fldCharType="separate"/>
            </w:r>
            <w:r>
              <w:rPr>
                <w:rStyle w:val="Verzeichnissprung"/>
                <w:vanish w:val="false"/>
              </w:rPr>
              <w:tab/>
              <w:t>3</w:t>
            </w:r>
            <w:r>
              <w:rPr>
                <w:webHidden/>
              </w:rPr>
              <w:fldChar w:fldCharType="end"/>
            </w:r>
          </w:hyperlink>
        </w:p>
        <w:p>
          <w:pPr>
            <w:pStyle w:val="Inhaltsverzeichnis2"/>
            <w:tabs>
              <w:tab w:val="clear" w:pos="708"/>
              <w:tab w:val="right" w:pos="9062" w:leader="dot"/>
            </w:tabs>
            <w:rPr>
              <w:lang w:eastAsia="de-DE"/>
            </w:rPr>
          </w:pPr>
          <w:hyperlink w:anchor="_Toc446344712">
            <w:r>
              <w:rPr>
                <w:webHidden/>
                <w:rStyle w:val="Verzeichnissprung"/>
                <w:lang w:eastAsia="de-DE"/>
              </w:rPr>
              <w:t>4.1 Arten und Umfang von Audits</w:t>
            </w:r>
            <w:r>
              <w:rPr>
                <w:webHidden/>
              </w:rPr>
              <w:fldChar w:fldCharType="begin"/>
            </w:r>
            <w:r>
              <w:rPr>
                <w:webHidden/>
              </w:rPr>
              <w:instrText xml:space="preserve">PAGEREF _Toc446344712 \h</w:instrText>
            </w:r>
            <w:r>
              <w:rPr>
                <w:webHidden/>
              </w:rPr>
              <w:fldChar w:fldCharType="separate"/>
            </w:r>
            <w:r>
              <w:rPr>
                <w:rStyle w:val="Verzeichnissprung"/>
                <w:vanish w:val="false"/>
              </w:rPr>
              <w:tab/>
              <w:t>3</w:t>
            </w:r>
            <w:r>
              <w:rPr>
                <w:webHidden/>
              </w:rPr>
              <w:fldChar w:fldCharType="end"/>
            </w:r>
          </w:hyperlink>
        </w:p>
        <w:p>
          <w:pPr>
            <w:pStyle w:val="Inhaltsverzeichnis3"/>
            <w:tabs>
              <w:tab w:val="clear" w:pos="708"/>
              <w:tab w:val="right" w:pos="9062" w:leader="dot"/>
            </w:tabs>
            <w:rPr>
              <w:lang w:eastAsia="de-DE"/>
            </w:rPr>
          </w:pPr>
          <w:hyperlink w:anchor="_Toc446344713">
            <w:r>
              <w:rPr>
                <w:webHidden/>
                <w:rStyle w:val="Verzeichnissprung"/>
                <w:highlight w:val="yellow"/>
                <w:lang w:eastAsia="de-DE"/>
              </w:rPr>
              <w:t>4.1.1 Interne Audits</w:t>
            </w:r>
            <w:r>
              <w:rPr>
                <w:webHidden/>
              </w:rPr>
              <w:fldChar w:fldCharType="begin"/>
            </w:r>
            <w:r>
              <w:rPr>
                <w:webHidden/>
              </w:rPr>
              <w:instrText xml:space="preserve">PAGEREF _Toc446344713 \h</w:instrText>
            </w:r>
            <w:r>
              <w:rPr>
                <w:webHidden/>
              </w:rPr>
              <w:fldChar w:fldCharType="separate"/>
            </w:r>
            <w:r>
              <w:rPr>
                <w:rStyle w:val="Verzeichnissprung"/>
                <w:vanish w:val="false"/>
              </w:rPr>
              <w:tab/>
              <w:t>3</w:t>
            </w:r>
            <w:r>
              <w:rPr>
                <w:webHidden/>
              </w:rPr>
              <w:fldChar w:fldCharType="end"/>
            </w:r>
          </w:hyperlink>
        </w:p>
        <w:p>
          <w:pPr>
            <w:pStyle w:val="Inhaltsverzeichnis3"/>
            <w:tabs>
              <w:tab w:val="clear" w:pos="708"/>
              <w:tab w:val="left" w:pos="1320" w:leader="none"/>
              <w:tab w:val="right" w:pos="9062" w:leader="dot"/>
            </w:tabs>
            <w:rPr>
              <w:lang w:eastAsia="de-DE"/>
            </w:rPr>
          </w:pPr>
          <w:hyperlink w:anchor="_Toc446344714">
            <w:r>
              <w:rPr>
                <w:webHidden/>
                <w:rStyle w:val="Verzeichnissprung"/>
                <w:lang w:eastAsia="de-DE"/>
              </w:rPr>
              <w:t>4.1.2</w:t>
              <w:tab/>
              <w:t>Audits bei Unterauftragnehmern</w:t>
            </w:r>
            <w:r>
              <w:rPr>
                <w:webHidden/>
              </w:rPr>
              <w:fldChar w:fldCharType="begin"/>
            </w:r>
            <w:r>
              <w:rPr>
                <w:webHidden/>
              </w:rPr>
              <w:instrText xml:space="preserve">PAGEREF _Toc446344714 \h</w:instrText>
            </w:r>
            <w:r>
              <w:rPr>
                <w:webHidden/>
              </w:rPr>
              <w:fldChar w:fldCharType="separate"/>
            </w:r>
            <w:r>
              <w:rPr>
                <w:rStyle w:val="Verzeichnissprung"/>
                <w:vanish w:val="false"/>
              </w:rPr>
              <w:tab/>
              <w:t>4</w:t>
            </w:r>
            <w:r>
              <w:rPr>
                <w:webHidden/>
              </w:rPr>
              <w:fldChar w:fldCharType="end"/>
            </w:r>
          </w:hyperlink>
        </w:p>
        <w:p>
          <w:pPr>
            <w:pStyle w:val="Inhaltsverzeichnis2"/>
            <w:tabs>
              <w:tab w:val="clear" w:pos="708"/>
              <w:tab w:val="left" w:pos="880" w:leader="none"/>
              <w:tab w:val="right" w:pos="9062" w:leader="dot"/>
            </w:tabs>
            <w:rPr>
              <w:lang w:eastAsia="de-DE"/>
            </w:rPr>
          </w:pPr>
          <w:hyperlink w:anchor="_Toc446344715">
            <w:r>
              <w:rPr>
                <w:webHidden/>
                <w:rStyle w:val="Verzeichnissprung"/>
                <w:lang w:eastAsia="de-DE"/>
              </w:rPr>
              <w:t>4.2</w:t>
              <w:tab/>
              <w:t>Terminplan</w:t>
            </w:r>
            <w:r>
              <w:rPr>
                <w:webHidden/>
              </w:rPr>
              <w:fldChar w:fldCharType="begin"/>
            </w:r>
            <w:r>
              <w:rPr>
                <w:webHidden/>
              </w:rPr>
              <w:instrText xml:space="preserve">PAGEREF _Toc446344715 \h</w:instrText>
            </w:r>
            <w:r>
              <w:rPr>
                <w:webHidden/>
              </w:rPr>
              <w:fldChar w:fldCharType="separate"/>
            </w:r>
            <w:r>
              <w:rPr>
                <w:rStyle w:val="Verzeichnissprung"/>
                <w:vanish w:val="false"/>
              </w:rPr>
              <w:tab/>
              <w:t>5</w:t>
            </w:r>
            <w:r>
              <w:rPr>
                <w:webHidden/>
              </w:rPr>
              <w:fldChar w:fldCharType="end"/>
            </w:r>
          </w:hyperlink>
        </w:p>
        <w:p>
          <w:pPr>
            <w:pStyle w:val="Inhaltsverzeichnis2"/>
            <w:tabs>
              <w:tab w:val="clear" w:pos="708"/>
              <w:tab w:val="left" w:pos="880" w:leader="none"/>
              <w:tab w:val="right" w:pos="9062" w:leader="dot"/>
            </w:tabs>
            <w:rPr>
              <w:lang w:eastAsia="de-DE"/>
            </w:rPr>
          </w:pPr>
          <w:hyperlink w:anchor="_Toc446344716">
            <w:r>
              <w:rPr>
                <w:webHidden/>
                <w:rStyle w:val="Verzeichnissprung"/>
                <w:lang w:eastAsia="de-DE"/>
              </w:rPr>
              <w:t>4.3</w:t>
              <w:tab/>
              <w:t>Qualifizierung und Einsatz der Auditoren</w:t>
            </w:r>
            <w:r>
              <w:rPr>
                <w:webHidden/>
              </w:rPr>
              <w:fldChar w:fldCharType="begin"/>
            </w:r>
            <w:r>
              <w:rPr>
                <w:webHidden/>
              </w:rPr>
              <w:instrText xml:space="preserve">PAGEREF _Toc446344716 \h</w:instrText>
            </w:r>
            <w:r>
              <w:rPr>
                <w:webHidden/>
              </w:rPr>
              <w:fldChar w:fldCharType="separate"/>
            </w:r>
            <w:r>
              <w:rPr>
                <w:rStyle w:val="Verzeichnissprung"/>
                <w:vanish w:val="false"/>
              </w:rPr>
              <w:tab/>
              <w:t>5</w:t>
            </w:r>
            <w:r>
              <w:rPr>
                <w:webHidden/>
              </w:rPr>
              <w:fldChar w:fldCharType="end"/>
            </w:r>
          </w:hyperlink>
        </w:p>
        <w:p>
          <w:pPr>
            <w:pStyle w:val="Inhaltsverzeichnis2"/>
            <w:tabs>
              <w:tab w:val="clear" w:pos="708"/>
              <w:tab w:val="left" w:pos="880" w:leader="none"/>
              <w:tab w:val="right" w:pos="9062" w:leader="dot"/>
            </w:tabs>
            <w:rPr>
              <w:lang w:eastAsia="de-DE"/>
            </w:rPr>
          </w:pPr>
          <w:hyperlink w:anchor="_Toc446344717">
            <w:r>
              <w:rPr>
                <w:webHidden/>
                <w:rStyle w:val="Verzeichnissprung"/>
                <w:lang w:eastAsia="de-DE"/>
              </w:rPr>
              <w:t>4.4</w:t>
              <w:tab/>
              <w:t>Auditunterlagen</w:t>
            </w:r>
            <w:r>
              <w:rPr>
                <w:webHidden/>
              </w:rPr>
              <w:fldChar w:fldCharType="begin"/>
            </w:r>
            <w:r>
              <w:rPr>
                <w:webHidden/>
              </w:rPr>
              <w:instrText xml:space="preserve">PAGEREF _Toc446344717 \h</w:instrText>
            </w:r>
            <w:r>
              <w:rPr>
                <w:webHidden/>
              </w:rPr>
              <w:fldChar w:fldCharType="separate"/>
            </w:r>
            <w:r>
              <w:rPr>
                <w:rStyle w:val="Verzeichnissprung"/>
                <w:vanish w:val="false"/>
              </w:rPr>
              <w:tab/>
              <w:t>5</w:t>
            </w:r>
            <w:r>
              <w:rPr>
                <w:webHidden/>
              </w:rPr>
              <w:fldChar w:fldCharType="end"/>
            </w:r>
          </w:hyperlink>
        </w:p>
        <w:p>
          <w:pPr>
            <w:pStyle w:val="Inhaltsverzeichnis2"/>
            <w:tabs>
              <w:tab w:val="clear" w:pos="708"/>
              <w:tab w:val="left" w:pos="880" w:leader="none"/>
              <w:tab w:val="right" w:pos="9062" w:leader="dot"/>
            </w:tabs>
            <w:rPr>
              <w:lang w:eastAsia="de-DE"/>
            </w:rPr>
          </w:pPr>
          <w:hyperlink w:anchor="_Toc446344718">
            <w:r>
              <w:rPr>
                <w:webHidden/>
                <w:rStyle w:val="Verzeichnissprung"/>
                <w:lang w:eastAsia="de-DE"/>
              </w:rPr>
              <w:t>4.5</w:t>
              <w:tab/>
              <w:t>Auditdurchführung</w:t>
            </w:r>
            <w:r>
              <w:rPr>
                <w:webHidden/>
              </w:rPr>
              <w:fldChar w:fldCharType="begin"/>
            </w:r>
            <w:r>
              <w:rPr>
                <w:webHidden/>
              </w:rPr>
              <w:instrText xml:space="preserve">PAGEREF _Toc446344718 \h</w:instrText>
            </w:r>
            <w:r>
              <w:rPr>
                <w:webHidden/>
              </w:rPr>
              <w:fldChar w:fldCharType="separate"/>
            </w:r>
            <w:r>
              <w:rPr>
                <w:rStyle w:val="Verzeichnissprung"/>
                <w:vanish w:val="false"/>
              </w:rPr>
              <w:tab/>
              <w:t>6</w:t>
            </w:r>
            <w:r>
              <w:rPr>
                <w:webHidden/>
              </w:rPr>
              <w:fldChar w:fldCharType="end"/>
            </w:r>
          </w:hyperlink>
        </w:p>
        <w:p>
          <w:pPr>
            <w:pStyle w:val="Inhaltsverzeichnis2"/>
            <w:tabs>
              <w:tab w:val="clear" w:pos="708"/>
              <w:tab w:val="left" w:pos="880" w:leader="none"/>
              <w:tab w:val="right" w:pos="9062" w:leader="dot"/>
            </w:tabs>
            <w:rPr>
              <w:lang w:eastAsia="de-DE"/>
            </w:rPr>
          </w:pPr>
          <w:hyperlink w:anchor="_Toc446344719">
            <w:r>
              <w:rPr>
                <w:webHidden/>
                <w:rStyle w:val="Verzeichnissprung"/>
                <w:lang w:eastAsia="de-DE"/>
              </w:rPr>
              <w:t>4.6</w:t>
              <w:tab/>
              <w:t>Auditbericht</w:t>
            </w:r>
            <w:r>
              <w:rPr>
                <w:webHidden/>
              </w:rPr>
              <w:fldChar w:fldCharType="begin"/>
            </w:r>
            <w:r>
              <w:rPr>
                <w:webHidden/>
              </w:rPr>
              <w:instrText xml:space="preserve">PAGEREF _Toc446344719 \h</w:instrText>
            </w:r>
            <w:r>
              <w:rPr>
                <w:webHidden/>
              </w:rPr>
              <w:fldChar w:fldCharType="separate"/>
            </w:r>
            <w:r>
              <w:rPr>
                <w:rStyle w:val="Verzeichnissprung"/>
                <w:vanish w:val="false"/>
              </w:rPr>
              <w:tab/>
              <w:t>6</w:t>
            </w:r>
            <w:r>
              <w:rPr>
                <w:webHidden/>
              </w:rPr>
              <w:fldChar w:fldCharType="end"/>
            </w:r>
          </w:hyperlink>
        </w:p>
        <w:p>
          <w:pPr>
            <w:pStyle w:val="Inhaltsverzeichnis2"/>
            <w:tabs>
              <w:tab w:val="clear" w:pos="708"/>
              <w:tab w:val="left" w:pos="880" w:leader="none"/>
              <w:tab w:val="right" w:pos="9062" w:leader="dot"/>
            </w:tabs>
            <w:rPr>
              <w:lang w:eastAsia="de-DE"/>
            </w:rPr>
          </w:pPr>
          <w:hyperlink w:anchor="_Toc446344720">
            <w:r>
              <w:rPr>
                <w:webHidden/>
                <w:rStyle w:val="Verzeichnissprung"/>
                <w:lang w:eastAsia="de-DE"/>
              </w:rPr>
              <w:t>4.7</w:t>
              <w:tab/>
              <w:t>Korrektur- und Vorbeugungsmaßnahmen</w:t>
            </w:r>
            <w:r>
              <w:rPr>
                <w:webHidden/>
              </w:rPr>
              <w:fldChar w:fldCharType="begin"/>
            </w:r>
            <w:r>
              <w:rPr>
                <w:webHidden/>
              </w:rPr>
              <w:instrText xml:space="preserve">PAGEREF _Toc446344720 \h</w:instrText>
            </w:r>
            <w:r>
              <w:rPr>
                <w:webHidden/>
              </w:rPr>
              <w:fldChar w:fldCharType="separate"/>
            </w:r>
            <w:r>
              <w:rPr>
                <w:rStyle w:val="Verzeichnissprung"/>
                <w:vanish w:val="false"/>
              </w:rPr>
              <w:tab/>
              <w:t>7</w:t>
            </w:r>
            <w:r>
              <w:rPr>
                <w:webHidden/>
              </w:rPr>
              <w:fldChar w:fldCharType="end"/>
            </w:r>
          </w:hyperlink>
        </w:p>
        <w:p>
          <w:pPr>
            <w:pStyle w:val="Inhaltsverzeichnis1"/>
            <w:tabs>
              <w:tab w:val="clear" w:pos="708"/>
              <w:tab w:val="right" w:pos="9062" w:leader="dot"/>
            </w:tabs>
            <w:rPr>
              <w:lang w:eastAsia="de-DE"/>
            </w:rPr>
          </w:pPr>
          <w:hyperlink w:anchor="_Toc446344721">
            <w:r>
              <w:rPr>
                <w:webHidden/>
                <w:rStyle w:val="Verzeichnissprung"/>
              </w:rPr>
              <w:t>5. Mitgeltende Dokumente</w:t>
            </w:r>
            <w:r>
              <w:rPr>
                <w:webHidden/>
              </w:rPr>
              <w:fldChar w:fldCharType="begin"/>
            </w:r>
            <w:r>
              <w:rPr>
                <w:webHidden/>
              </w:rPr>
              <w:instrText xml:space="preserve">PAGEREF _Toc446344721 \h</w:instrText>
            </w:r>
            <w:r>
              <w:rPr>
                <w:webHidden/>
              </w:rPr>
              <w:fldChar w:fldCharType="separate"/>
            </w:r>
            <w:r>
              <w:rPr>
                <w:rStyle w:val="Verzeichnissprung"/>
                <w:vanish w:val="false"/>
              </w:rPr>
              <w:tab/>
              <w:t>7</w:t>
            </w:r>
            <w:r>
              <w:rPr>
                <w:webHidden/>
              </w:rPr>
              <w:fldChar w:fldCharType="end"/>
            </w:r>
          </w:hyperlink>
        </w:p>
        <w:p>
          <w:pPr>
            <w:pStyle w:val="Inhaltsverzeichnis1"/>
            <w:tabs>
              <w:tab w:val="clear" w:pos="708"/>
              <w:tab w:val="right" w:pos="9062" w:leader="dot"/>
            </w:tabs>
            <w:rPr>
              <w:lang w:eastAsia="de-DE"/>
            </w:rPr>
          </w:pPr>
          <w:hyperlink w:anchor="_Toc446344722">
            <w:r>
              <w:rPr>
                <w:webHidden/>
                <w:rStyle w:val="Verzeichnissprung"/>
              </w:rPr>
              <w:t>6. Gültigkeit</w:t>
            </w:r>
            <w:r>
              <w:rPr>
                <w:webHidden/>
              </w:rPr>
              <w:fldChar w:fldCharType="begin"/>
            </w:r>
            <w:r>
              <w:rPr>
                <w:webHidden/>
              </w:rPr>
              <w:instrText xml:space="preserve">PAGEREF _Toc446344722 \h</w:instrText>
            </w:r>
            <w:r>
              <w:rPr>
                <w:webHidden/>
              </w:rPr>
              <w:fldChar w:fldCharType="separate"/>
            </w:r>
            <w:r>
              <w:rPr>
                <w:rStyle w:val="Verzeichnissprung"/>
                <w:vanish w:val="false"/>
              </w:rPr>
              <w:tab/>
              <w:t>7</w:t>
            </w:r>
            <w:r>
              <w:rPr>
                <w:webHidden/>
              </w:rPr>
              <w:fldChar w:fldCharType="end"/>
            </w:r>
          </w:hyperlink>
        </w:p>
        <w:p>
          <w:pPr>
            <w:pStyle w:val="Inhaltsverzeichnis1"/>
            <w:tabs>
              <w:tab w:val="clear" w:pos="708"/>
              <w:tab w:val="right" w:pos="9062" w:leader="dot"/>
            </w:tabs>
            <w:rPr>
              <w:lang w:eastAsia="de-DE"/>
            </w:rPr>
          </w:pPr>
          <w:hyperlink w:anchor="_Toc446344723">
            <w:r>
              <w:rPr>
                <w:webHidden/>
                <w:rStyle w:val="Verzeichnissprung"/>
              </w:rPr>
              <w:t>7. Anlagen</w:t>
            </w:r>
            <w:r>
              <w:rPr>
                <w:webHidden/>
              </w:rPr>
              <w:fldChar w:fldCharType="begin"/>
            </w:r>
            <w:r>
              <w:rPr>
                <w:webHidden/>
              </w:rPr>
              <w:instrText xml:space="preserve">PAGEREF _Toc446344723 \h</w:instrText>
            </w:r>
            <w:r>
              <w:rPr>
                <w:webHidden/>
              </w:rPr>
              <w:fldChar w:fldCharType="separate"/>
            </w:r>
            <w:r>
              <w:rPr>
                <w:rStyle w:val="Verzeichnissprung"/>
                <w:vanish w:val="false"/>
              </w:rPr>
              <w:tab/>
              <w:t>7</w:t>
            </w:r>
            <w:r>
              <w:rPr>
                <w:webHidden/>
              </w:rPr>
              <w:fldChar w:fldCharType="end"/>
            </w:r>
          </w:hyperlink>
        </w:p>
        <w:p>
          <w:pPr>
            <w:pStyle w:val="Normal"/>
            <w:rPr>
              <w:rFonts w:ascii="Myriad Pro" w:hAnsi="Myriad Pro"/>
              <w:b/>
              <w:b/>
            </w:rPr>
          </w:pPr>
          <w:r>
            <w:rPr>
              <w:b/>
            </w:rPr>
          </w:r>
          <w:r>
            <w:rPr>
              <w:b/>
            </w:rPr>
            <w:fldChar w:fldCharType="end"/>
          </w:r>
        </w:p>
      </w:sdtContent>
    </w:sdt>
    <w:p>
      <w:pPr>
        <w:pStyle w:val="Normal"/>
        <w:rPr>
          <w:rFonts w:ascii="Myriad Pro" w:hAnsi="Myriad Pro"/>
        </w:rPr>
      </w:pPr>
      <w:r>
        <w:rPr/>
      </w:r>
    </w:p>
    <w:p>
      <w:pPr>
        <w:pStyle w:val="Normal"/>
        <w:rPr>
          <w:rFonts w:ascii="Myriad Pro" w:hAnsi="Myriad Pro"/>
        </w:rPr>
      </w:pPr>
      <w:r>
        <w:rPr/>
      </w:r>
    </w:p>
    <w:tbl>
      <w:tblPr>
        <w:tblStyle w:val="Tabellenraster"/>
        <w:tblW w:w="921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070"/>
        <w:gridCol w:w="3070"/>
        <w:gridCol w:w="3071"/>
      </w:tblGrid>
      <w:tr>
        <w:trPr>
          <w:trHeight w:val="462" w:hRule="atLeast"/>
          <w:cantSplit w:val="true"/>
        </w:trPr>
        <w:tc>
          <w:tcPr>
            <w:tcW w:w="3070" w:type="dxa"/>
            <w:tcBorders>
              <w:right w:val="nil"/>
            </w:tcBorders>
            <w:vAlign w:val="center"/>
          </w:tcPr>
          <w:p>
            <w:pPr>
              <w:pStyle w:val="Normal"/>
              <w:widowControl/>
              <w:spacing w:lineRule="auto" w:line="240" w:before="0" w:after="0"/>
              <w:jc w:val="center"/>
              <w:rPr>
                <w:rFonts w:ascii="Myriad Pro" w:hAnsi="Myriad Pro" w:eastAsia="Myriad Pro" w:cs=""/>
                <w:kern w:val="0"/>
                <w:sz w:val="22"/>
                <w:szCs w:val="22"/>
                <w:lang w:val="de-DE" w:eastAsia="en-US" w:bidi="ar-SA"/>
              </w:rPr>
            </w:pPr>
            <w:r>
              <w:rPr>
                <w:rFonts w:eastAsia="Myriad Pro" w:cs=""/>
                <w:kern w:val="0"/>
                <w:sz w:val="22"/>
                <w:szCs w:val="22"/>
                <w:lang w:val="de-DE" w:eastAsia="en-US" w:bidi="ar-SA"/>
              </w:rPr>
              <w:t>ERSTELLT</w:t>
            </w:r>
          </w:p>
        </w:tc>
        <w:tc>
          <w:tcPr>
            <w:tcW w:w="3070" w:type="dxa"/>
            <w:tcBorders/>
            <w:vAlign w:val="center"/>
          </w:tcPr>
          <w:p>
            <w:pPr>
              <w:pStyle w:val="Normal"/>
              <w:widowControl/>
              <w:spacing w:lineRule="auto" w:line="240" w:before="0" w:after="0"/>
              <w:jc w:val="center"/>
              <w:rPr>
                <w:rFonts w:ascii="Myriad Pro" w:hAnsi="Myriad Pro" w:eastAsia="Myriad Pro" w:cs=""/>
                <w:kern w:val="0"/>
                <w:sz w:val="22"/>
                <w:szCs w:val="22"/>
                <w:lang w:val="de-DE" w:eastAsia="en-US" w:bidi="ar-SA"/>
              </w:rPr>
            </w:pPr>
            <w:r>
              <w:rPr>
                <w:rFonts w:eastAsia="Myriad Pro" w:cs=""/>
                <w:kern w:val="0"/>
                <w:sz w:val="22"/>
                <w:szCs w:val="22"/>
                <w:lang w:val="de-DE" w:eastAsia="en-US" w:bidi="ar-SA"/>
              </w:rPr>
              <w:t>GEPRÜFT</w:t>
            </w:r>
          </w:p>
        </w:tc>
        <w:tc>
          <w:tcPr>
            <w:tcW w:w="3071" w:type="dxa"/>
            <w:tcBorders/>
            <w:vAlign w:val="center"/>
          </w:tcPr>
          <w:p>
            <w:pPr>
              <w:pStyle w:val="Normal"/>
              <w:widowControl/>
              <w:spacing w:lineRule="auto" w:line="240" w:before="0" w:after="0"/>
              <w:jc w:val="center"/>
              <w:rPr>
                <w:rFonts w:ascii="Myriad Pro" w:hAnsi="Myriad Pro" w:eastAsia="Myriad Pro" w:cs=""/>
                <w:kern w:val="0"/>
                <w:sz w:val="22"/>
                <w:szCs w:val="22"/>
                <w:lang w:val="de-DE" w:eastAsia="en-US" w:bidi="ar-SA"/>
              </w:rPr>
            </w:pPr>
            <w:r>
              <w:rPr>
                <w:rFonts w:eastAsia="Myriad Pro" w:cs=""/>
                <w:kern w:val="0"/>
                <w:sz w:val="22"/>
                <w:szCs w:val="22"/>
                <w:lang w:val="de-DE" w:eastAsia="en-US" w:bidi="ar-SA"/>
              </w:rPr>
              <w:t>FREIGEGEBEN</w:t>
            </w:r>
          </w:p>
        </w:tc>
      </w:tr>
      <w:tr>
        <w:trPr>
          <w:trHeight w:val="1844" w:hRule="atLeast"/>
          <w:cantSplit w:val="true"/>
        </w:trPr>
        <w:tc>
          <w:tcPr>
            <w:tcW w:w="3070" w:type="dxa"/>
            <w:tcBorders>
              <w:right w:val="nil"/>
            </w:tcBorders>
          </w:tcPr>
          <w:p>
            <w:pPr>
              <w:pStyle w:val="Normal"/>
              <w:widowControl/>
              <w:spacing w:lineRule="auto" w:line="276" w:before="120" w:after="0"/>
              <w:rPr>
                <w:rFonts w:ascii="Myriad Pro" w:hAnsi="Myriad Pro"/>
              </w:rPr>
            </w:pPr>
            <w:r>
              <w:rPr>
                <w:rFonts w:eastAsia="Myriad Pro" w:cs=""/>
                <w:kern w:val="0"/>
                <w:sz w:val="22"/>
                <w:szCs w:val="22"/>
                <w:lang w:val="de-DE" w:eastAsia="en-US" w:bidi="ar-SA"/>
              </w:rPr>
              <w:t xml:space="preserve">Am: </w:t>
            </w:r>
            <w:r>
              <w:rPr>
                <w:rFonts w:eastAsia="Myriad Pro" w:cs=""/>
                <w:kern w:val="0"/>
                <w:sz w:val="22"/>
                <w:szCs w:val="22"/>
                <w:lang w:val="de-DE" w:eastAsia="en-US" w:bidi="ar-SA"/>
              </w:rPr>
              <w:t>15.04.2022</w:t>
            </w:r>
          </w:p>
          <w:p>
            <w:pPr>
              <w:pStyle w:val="Normal"/>
              <w:widowControl/>
              <w:spacing w:lineRule="auto" w:line="276" w:before="0" w:after="0"/>
              <w:rPr>
                <w:rFonts w:ascii="Myriad Pro" w:hAnsi="Myriad Pro"/>
              </w:rPr>
            </w:pPr>
            <w:r>
              <w:rPr>
                <w:rFonts w:eastAsia="Myriad Pro" w:cs=""/>
                <w:kern w:val="0"/>
                <w:sz w:val="22"/>
                <w:szCs w:val="22"/>
                <w:lang w:val="de-DE" w:eastAsia="en-US" w:bidi="ar-SA"/>
              </w:rPr>
              <w:t xml:space="preserve">Von: </w:t>
            </w:r>
            <w:r>
              <w:rPr>
                <w:rFonts w:eastAsia="Myriad Pro" w:cs=""/>
                <w:kern w:val="0"/>
                <w:sz w:val="22"/>
                <w:szCs w:val="22"/>
                <w:lang w:val="de-DE" w:eastAsia="en-US" w:bidi="ar-SA"/>
              </w:rPr>
              <w:t>Norman Walter</w:t>
            </w:r>
          </w:p>
        </w:tc>
        <w:tc>
          <w:tcPr>
            <w:tcW w:w="3070" w:type="dxa"/>
            <w:tcBorders/>
          </w:tcPr>
          <w:p>
            <w:pPr>
              <w:pStyle w:val="Normal"/>
              <w:widowControl/>
              <w:spacing w:lineRule="auto" w:line="276" w:before="120" w:after="0"/>
              <w:rPr>
                <w:rFonts w:ascii="Myriad Pro" w:hAnsi="Myriad Pro"/>
              </w:rPr>
            </w:pPr>
            <w:r>
              <w:rPr>
                <w:rFonts w:eastAsia="Myriad Pro" w:cs=""/>
                <w:kern w:val="0"/>
                <w:sz w:val="22"/>
                <w:szCs w:val="22"/>
                <w:lang w:val="de-DE" w:eastAsia="en-US" w:bidi="ar-SA"/>
              </w:rPr>
              <w:t xml:space="preserve">Am: </w:t>
            </w:r>
            <w:r>
              <w:rPr>
                <w:rFonts w:eastAsia="Myriad Pro" w:cs=""/>
                <w:kern w:val="0"/>
                <w:sz w:val="22"/>
                <w:szCs w:val="22"/>
                <w:lang w:val="de-DE" w:eastAsia="en-US" w:bidi="ar-SA"/>
              </w:rPr>
              <w:t>15.04.2022</w:t>
            </w:r>
          </w:p>
          <w:p>
            <w:pPr>
              <w:pStyle w:val="Normal"/>
              <w:widowControl/>
              <w:spacing w:lineRule="auto" w:line="276" w:before="0" w:after="0"/>
              <w:rPr>
                <w:rFonts w:ascii="Myriad Pro" w:hAnsi="Myriad Pro"/>
              </w:rPr>
            </w:pPr>
            <w:r>
              <w:rPr>
                <w:rFonts w:eastAsia="Myriad Pro" w:cs=""/>
                <w:kern w:val="0"/>
                <w:sz w:val="22"/>
                <w:szCs w:val="22"/>
                <w:lang w:val="de-DE" w:eastAsia="en-US" w:bidi="ar-SA"/>
              </w:rPr>
              <w:t xml:space="preserve">Von: </w:t>
            </w:r>
            <w:r>
              <w:rPr>
                <w:rFonts w:eastAsia="Myriad Pro" w:cs=""/>
                <w:kern w:val="0"/>
                <w:sz w:val="22"/>
                <w:szCs w:val="22"/>
                <w:lang w:val="de-DE" w:eastAsia="en-US" w:bidi="ar-SA"/>
              </w:rPr>
              <w:t>Markus Behnke</w:t>
            </w:r>
          </w:p>
        </w:tc>
        <w:tc>
          <w:tcPr>
            <w:tcW w:w="3071" w:type="dxa"/>
            <w:tcBorders/>
          </w:tcPr>
          <w:p>
            <w:pPr>
              <w:pStyle w:val="Normal"/>
              <w:widowControl/>
              <w:spacing w:lineRule="auto" w:line="276" w:before="120" w:after="0"/>
              <w:rPr>
                <w:rFonts w:ascii="Myriad Pro" w:hAnsi="Myriad Pro"/>
              </w:rPr>
            </w:pPr>
            <w:r>
              <w:rPr>
                <w:rFonts w:eastAsia="Myriad Pro" w:cs=""/>
                <w:kern w:val="0"/>
                <w:sz w:val="22"/>
                <w:szCs w:val="22"/>
                <w:lang w:val="de-DE" w:eastAsia="en-US" w:bidi="ar-SA"/>
              </w:rPr>
              <w:t xml:space="preserve">Am: </w:t>
            </w:r>
            <w:r>
              <w:rPr>
                <w:rFonts w:eastAsia="Myriad Pro" w:cs=""/>
                <w:kern w:val="0"/>
                <w:sz w:val="22"/>
                <w:szCs w:val="22"/>
                <w:lang w:val="de-DE" w:eastAsia="en-US" w:bidi="ar-SA"/>
              </w:rPr>
              <w:t>18.04.2022</w:t>
            </w:r>
          </w:p>
          <w:p>
            <w:pPr>
              <w:pStyle w:val="Normal"/>
              <w:widowControl/>
              <w:spacing w:lineRule="auto" w:line="276" w:before="0" w:after="0"/>
              <w:rPr>
                <w:rFonts w:ascii="Myriad Pro" w:hAnsi="Myriad Pro"/>
              </w:rPr>
            </w:pPr>
            <w:r>
              <w:rPr>
                <w:rFonts w:eastAsia="Myriad Pro" w:cs=""/>
                <w:kern w:val="0"/>
                <w:sz w:val="22"/>
                <w:szCs w:val="22"/>
                <w:lang w:val="de-DE" w:eastAsia="en-US" w:bidi="ar-SA"/>
              </w:rPr>
              <w:t>Von: Bernd Weinreich</w:t>
            </w:r>
          </w:p>
        </w:tc>
      </w:tr>
    </w:tbl>
    <w:p>
      <w:pPr>
        <w:pStyle w:val="Normal"/>
        <w:rPr>
          <w:rFonts w:ascii="Myriad Pro" w:hAnsi="Myriad Pro" w:eastAsia="" w:cs="" w:asciiTheme="majorHAnsi" w:cstheme="majorBidi" w:eastAsiaTheme="majorEastAsia" w:hAnsiTheme="majorHAnsi"/>
          <w:b/>
          <w:b/>
          <w:bCs/>
          <w:color w:val="1F497D" w:themeColor="text2"/>
          <w:sz w:val="28"/>
          <w:szCs w:val="28"/>
        </w:rPr>
      </w:pPr>
      <w:r>
        <w:rPr>
          <w:rFonts w:eastAsia="" w:cs="" w:cstheme="majorBidi" w:eastAsiaTheme="majorEastAsia"/>
          <w:b/>
          <w:bCs/>
          <w:color w:val="1F497D" w:themeColor="text2"/>
          <w:sz w:val="28"/>
          <w:szCs w:val="28"/>
        </w:rPr>
      </w:r>
      <w:r>
        <w:br w:type="page"/>
      </w:r>
    </w:p>
    <w:p>
      <w:pPr>
        <w:pStyle w:val="Berschrift1"/>
        <w:rPr/>
      </w:pPr>
      <w:bookmarkStart w:id="0" w:name="_Toc446344708"/>
      <w:bookmarkStart w:id="1" w:name="_Toc282157739"/>
      <w:bookmarkStart w:id="2" w:name="_Toc454093969"/>
      <w:r>
        <w:rPr/>
        <w:t>1. Zweck</w:t>
      </w:r>
      <w:bookmarkEnd w:id="0"/>
      <w:bookmarkEnd w:id="1"/>
      <w:bookmarkEnd w:id="2"/>
    </w:p>
    <w:p>
      <w:pPr>
        <w:pStyle w:val="BodyText2"/>
        <w:tabs>
          <w:tab w:val="clear" w:pos="2269"/>
          <w:tab w:val="clear" w:pos="3969"/>
        </w:tabs>
        <w:rPr>
          <w:rFonts w:ascii="Myriad Pro" w:hAnsi="Myriad Pro" w:asciiTheme="minorHAnsi" w:hAnsiTheme="minorHAnsi"/>
          <w:sz w:val="22"/>
          <w:szCs w:val="22"/>
        </w:rPr>
      </w:pPr>
      <w:bookmarkStart w:id="3" w:name="_Toc282157740"/>
      <w:bookmarkStart w:id="4" w:name="_Toc454093970"/>
      <w:bookmarkStart w:id="5" w:name="Anfang"/>
      <w:bookmarkEnd w:id="5"/>
      <w:r>
        <w:rPr>
          <w:rFonts w:ascii="Myriad Pro" w:hAnsi="Myriad Pro" w:asciiTheme="minorHAnsi" w:hAnsiTheme="minorHAnsi"/>
          <w:sz w:val="22"/>
          <w:szCs w:val="22"/>
        </w:rPr>
        <w:t>Die vorliegende Verfahrensanweisung dient der Aufrechterhaltung und ständigen Verbesserung des Managementsystems. In ihr werden Verantwortungen für und Anforderungen an die Planung und Durchführung dokumentierter Audits festgelegt.</w:t>
      </w:r>
    </w:p>
    <w:p>
      <w:pPr>
        <w:pStyle w:val="BodyText2"/>
        <w:tabs>
          <w:tab w:val="clear" w:pos="2269"/>
          <w:tab w:val="clear" w:pos="3969"/>
        </w:tabs>
        <w:rPr>
          <w:rFonts w:ascii="Myriad Pro" w:hAnsi="Myriad Pro" w:asciiTheme="minorHAnsi" w:hAnsiTheme="minorHAnsi"/>
          <w:sz w:val="22"/>
          <w:szCs w:val="22"/>
        </w:rPr>
      </w:pPr>
      <w:r>
        <w:rPr>
          <w:rFonts w:asciiTheme="minorHAnsi" w:hAnsiTheme="minorHAnsi" w:ascii="Myriad Pro" w:hAnsi="Myriad Pro"/>
          <w:sz w:val="22"/>
          <w:szCs w:val="22"/>
        </w:rPr>
      </w:r>
    </w:p>
    <w:p>
      <w:pPr>
        <w:pStyle w:val="BodyText2"/>
        <w:tabs>
          <w:tab w:val="clear" w:pos="2269"/>
          <w:tab w:val="clear" w:pos="3969"/>
        </w:tabs>
        <w:rPr>
          <w:rFonts w:ascii="Myriad Pro" w:hAnsi="Myriad Pro" w:asciiTheme="minorHAnsi" w:hAnsiTheme="minorHAnsi"/>
          <w:sz w:val="22"/>
          <w:szCs w:val="22"/>
        </w:rPr>
      </w:pPr>
      <w:r>
        <w:rPr>
          <w:rFonts w:ascii="Myriad Pro" w:hAnsi="Myriad Pro" w:asciiTheme="minorHAnsi" w:hAnsiTheme="minorHAnsi"/>
          <w:sz w:val="22"/>
          <w:szCs w:val="22"/>
        </w:rPr>
        <w:t xml:space="preserve">Insbesondere die Wahrnehmung der ECM Aufgabe erfordert bei Untervergabe von Instandhaltungsfunktionen die Durchführung von Audits, die der Zertifizierungsstelle der </w:t>
      </w:r>
      <w:r>
        <w:rPr>
          <w:rFonts w:ascii="Myriad Pro" w:hAnsi="Myriad Pro" w:asciiTheme="minorHAnsi" w:hAnsiTheme="minorHAnsi"/>
          <w:i/>
          <w:sz w:val="22"/>
          <w:szCs w:val="22"/>
        </w:rPr>
        <w:t>waggon24</w:t>
      </w:r>
      <w:r>
        <w:rPr>
          <w:rFonts w:ascii="Myriad Pro" w:hAnsi="Myriad Pro" w:asciiTheme="minorHAnsi" w:hAnsiTheme="minorHAnsi"/>
          <w:sz w:val="22"/>
          <w:szCs w:val="22"/>
        </w:rPr>
        <w:t xml:space="preserve"> GmbH darlegt, wie alle Anforderungen des Anhang II der </w:t>
      </w:r>
      <w:r>
        <w:rPr>
          <w:rFonts w:ascii="Myriad Pro" w:hAnsi="Myriad Pro" w:asciiTheme="minorHAnsi" w:hAnsiTheme="minorHAnsi"/>
          <w:sz w:val="22"/>
          <w:szCs w:val="22"/>
        </w:rPr>
        <w:t>Durchführungsv</w:t>
      </w:r>
      <w:r>
        <w:rPr>
          <w:rFonts w:ascii="Myriad Pro" w:hAnsi="Myriad Pro" w:asciiTheme="minorHAnsi" w:hAnsiTheme="minorHAnsi"/>
          <w:sz w:val="22"/>
          <w:szCs w:val="22"/>
        </w:rPr>
        <w:t xml:space="preserve">erordnung (EU) </w:t>
      </w:r>
      <w:r>
        <w:rPr>
          <w:rFonts w:ascii="Myriad Pro" w:hAnsi="Myriad Pro" w:asciiTheme="minorHAnsi" w:hAnsiTheme="minorHAnsi"/>
          <w:sz w:val="22"/>
          <w:szCs w:val="22"/>
        </w:rPr>
        <w:t>2019/779</w:t>
      </w:r>
      <w:r>
        <w:rPr>
          <w:rFonts w:ascii="Myriad Pro" w:hAnsi="Myriad Pro" w:asciiTheme="minorHAnsi" w:hAnsiTheme="minorHAnsi"/>
          <w:sz w:val="22"/>
          <w:szCs w:val="22"/>
        </w:rPr>
        <w:t xml:space="preserve"> hinsichtlich derjenigen Funktionen erfüllt werden, die zur Untervergabe vorgesehen sind.</w:t>
      </w:r>
    </w:p>
    <w:p>
      <w:pPr>
        <w:pStyle w:val="Berschrift1"/>
        <w:rPr/>
      </w:pPr>
      <w:bookmarkStart w:id="6" w:name="_Toc282157740"/>
      <w:bookmarkStart w:id="7" w:name="_Toc454093970"/>
      <w:bookmarkStart w:id="8" w:name="_Toc446344709"/>
      <w:r>
        <w:rPr/>
        <w:t>2. Geltungsbereich</w:t>
      </w:r>
      <w:bookmarkEnd w:id="6"/>
      <w:bookmarkEnd w:id="7"/>
      <w:bookmarkEnd w:id="8"/>
    </w:p>
    <w:p>
      <w:pPr>
        <w:pStyle w:val="Normal"/>
        <w:rPr>
          <w:b/>
          <w:b/>
        </w:rPr>
      </w:pPr>
      <w:r>
        <w:rPr/>
        <w:t xml:space="preserve">Die Verfahrensanweisung gilt für alle Mitarbeiter, die am Verfahren der Planung und Umsetzung </w:t>
      </w:r>
      <w:r>
        <w:rPr>
          <w:highlight w:val="yellow"/>
        </w:rPr>
        <w:t>von</w:t>
      </w:r>
      <w:r>
        <w:rPr/>
        <w:t xml:space="preserve"> Audits beteiligt sind.</w:t>
      </w:r>
    </w:p>
    <w:p>
      <w:pPr>
        <w:pStyle w:val="Berschrift1"/>
        <w:rPr/>
      </w:pPr>
      <w:bookmarkStart w:id="9" w:name="_Toc290631682"/>
      <w:bookmarkStart w:id="10" w:name="_Toc285117315"/>
      <w:bookmarkStart w:id="11" w:name="_Toc446344710"/>
      <w:bookmarkStart w:id="12" w:name="_Toc290631621"/>
      <w:bookmarkStart w:id="13" w:name="_Toc285087186"/>
      <w:r>
        <w:rPr/>
        <w:t>3 Verantwortlichkeiten</w:t>
      </w:r>
      <w:bookmarkEnd w:id="11"/>
      <w:bookmarkEnd w:id="12"/>
      <w:bookmarkEnd w:id="13"/>
    </w:p>
    <w:p>
      <w:pPr>
        <w:pStyle w:val="Normal"/>
        <w:rPr/>
      </w:pPr>
      <w:r>
        <w:rPr/>
        <w:t>Es ist Aufgabe der Geschäfts</w:t>
      </w:r>
      <w:r>
        <w:rPr>
          <w:highlight w:val="yellow"/>
        </w:rPr>
        <w:t>führung</w:t>
      </w:r>
      <w:r>
        <w:rPr/>
        <w:t>, die Umsetzung des vorliegenden Verfahrens zu gewährleisten.</w:t>
      </w:r>
    </w:p>
    <w:p>
      <w:pPr>
        <w:pStyle w:val="Normal"/>
        <w:tabs>
          <w:tab w:val="clear" w:pos="708"/>
          <w:tab w:val="left" w:pos="426" w:leader="none"/>
          <w:tab w:val="left" w:pos="4253" w:leader="none"/>
          <w:tab w:val="left" w:pos="4962" w:leader="none"/>
        </w:tabs>
        <w:rPr/>
      </w:pPr>
      <w:bookmarkStart w:id="14" w:name="_Toc290631682"/>
      <w:bookmarkStart w:id="15" w:name="_Toc285117315"/>
      <w:r>
        <w:rPr/>
        <w:t>Verantwortlichkeiten, die im Zusammenhang mit der Planung und Durchführung der Managementaudits stehen, sind dem QMB übertragen. Er ist befugt, Mitarbeitern des Unternehmens in Abstimmung mit den jeweils zuständigen Vorgesetzten Auditaufgaben zu übertragen. Verantwortlichkeiten zur Umsetzung des vorliegenden Verfahrens sind in der folgenden Tabelle dargestellt.</w:t>
      </w:r>
      <w:bookmarkEnd w:id="14"/>
      <w:bookmarkEnd w:id="15"/>
    </w:p>
    <w:tbl>
      <w:tblPr>
        <w:tblW w:w="8955" w:type="dxa"/>
        <w:jc w:val="left"/>
        <w:tblInd w:w="139" w:type="dxa"/>
        <w:tblLayout w:type="fixed"/>
        <w:tblCellMar>
          <w:top w:w="0" w:type="dxa"/>
          <w:left w:w="71" w:type="dxa"/>
          <w:bottom w:w="0" w:type="dxa"/>
          <w:right w:w="71" w:type="dxa"/>
        </w:tblCellMar>
        <w:tblLook w:val="0000" w:noHBand="0" w:noVBand="0" w:firstColumn="0" w:lastRow="0" w:lastColumn="0" w:firstRow="0"/>
      </w:tblPr>
      <w:tblGrid>
        <w:gridCol w:w="5144"/>
        <w:gridCol w:w="1200"/>
        <w:gridCol w:w="1291"/>
        <w:gridCol w:w="1319"/>
      </w:tblGrid>
      <w:tr>
        <w:trPr>
          <w:cantSplit w:val="true"/>
        </w:trPr>
        <w:tc>
          <w:tcPr>
            <w:tcW w:w="5144" w:type="dxa"/>
            <w:vMerge w:val="restart"/>
            <w:tcBorders>
              <w:top w:val="double" w:sz="2" w:space="0" w:color="000000"/>
              <w:left w:val="double" w:sz="2" w:space="0" w:color="000000"/>
              <w:bottom w:val="double" w:sz="2" w:space="0" w:color="000000"/>
            </w:tcBorders>
            <w:shd w:color="auto" w:fill="auto" w:val="clear"/>
            <w:vAlign w:val="center"/>
          </w:tcPr>
          <w:p>
            <w:pPr>
              <w:pStyle w:val="NoSpacing"/>
              <w:widowControl w:val="false"/>
              <w:snapToGrid w:val="false"/>
              <w:rPr>
                <w:b/>
                <w:b/>
              </w:rPr>
            </w:pPr>
            <w:r>
              <w:rPr>
                <w:b/>
              </w:rPr>
              <w:t>Aufgaben / Verfahren</w:t>
            </w:r>
          </w:p>
        </w:tc>
        <w:tc>
          <w:tcPr>
            <w:tcW w:w="3810" w:type="dxa"/>
            <w:gridSpan w:val="3"/>
            <w:tcBorders>
              <w:top w:val="double" w:sz="2" w:space="0" w:color="000000"/>
              <w:left w:val="single" w:sz="4" w:space="0" w:color="000000"/>
              <w:bottom w:val="single" w:sz="4" w:space="0" w:color="000000"/>
              <w:right w:val="double" w:sz="2" w:space="0" w:color="000000"/>
            </w:tcBorders>
            <w:shd w:color="auto" w:fill="auto" w:val="clear"/>
          </w:tcPr>
          <w:p>
            <w:pPr>
              <w:pStyle w:val="NoSpacing"/>
              <w:widowControl w:val="false"/>
              <w:snapToGrid w:val="false"/>
              <w:jc w:val="center"/>
              <w:rPr>
                <w:b/>
                <w:b/>
              </w:rPr>
            </w:pPr>
            <w:r>
              <w:rPr>
                <w:b/>
              </w:rPr>
              <w:t>Verantwortung</w:t>
            </w:r>
          </w:p>
        </w:tc>
      </w:tr>
      <w:tr>
        <w:trPr>
          <w:cantSplit w:val="true"/>
        </w:trPr>
        <w:tc>
          <w:tcPr>
            <w:tcW w:w="5144" w:type="dxa"/>
            <w:vMerge w:val="continue"/>
            <w:tcBorders>
              <w:top w:val="double" w:sz="2" w:space="0" w:color="000000"/>
              <w:left w:val="double" w:sz="2" w:space="0" w:color="000000"/>
              <w:bottom w:val="double" w:sz="2" w:space="0" w:color="000000"/>
            </w:tcBorders>
            <w:shd w:color="auto" w:fill="auto" w:val="clear"/>
            <w:vAlign w:val="center"/>
          </w:tcPr>
          <w:p>
            <w:pPr>
              <w:pStyle w:val="Normal"/>
              <w:widowControl w:val="false"/>
              <w:snapToGrid w:val="false"/>
              <w:spacing w:before="40" w:after="40"/>
              <w:rPr>
                <w:rFonts w:ascii="Times New Roman" w:hAnsi="Times New Roman"/>
              </w:rPr>
            </w:pPr>
            <w:r>
              <w:rPr>
                <w:rFonts w:ascii="Times New Roman" w:hAnsi="Times New Roman"/>
              </w:rPr>
            </w:r>
          </w:p>
        </w:tc>
        <w:tc>
          <w:tcPr>
            <w:tcW w:w="1200" w:type="dxa"/>
            <w:tcBorders>
              <w:left w:val="single" w:sz="4" w:space="0" w:color="000000"/>
              <w:bottom w:val="double" w:sz="2" w:space="0" w:color="000000"/>
            </w:tcBorders>
            <w:shd w:color="auto" w:fill="auto" w:val="clear"/>
            <w:vAlign w:val="center"/>
          </w:tcPr>
          <w:p>
            <w:pPr>
              <w:pStyle w:val="NoSpacing"/>
              <w:widowControl w:val="false"/>
              <w:snapToGrid w:val="false"/>
              <w:jc w:val="center"/>
              <w:rPr/>
            </w:pPr>
            <w:r>
              <w:rPr/>
              <w:t>GF</w:t>
            </w:r>
          </w:p>
        </w:tc>
        <w:tc>
          <w:tcPr>
            <w:tcW w:w="1291" w:type="dxa"/>
            <w:tcBorders>
              <w:left w:val="single" w:sz="4" w:space="0" w:color="000000"/>
              <w:bottom w:val="double" w:sz="2" w:space="0" w:color="000000"/>
            </w:tcBorders>
            <w:shd w:color="auto" w:fill="auto" w:val="clear"/>
            <w:vAlign w:val="center"/>
          </w:tcPr>
          <w:p>
            <w:pPr>
              <w:pStyle w:val="NoSpacing"/>
              <w:widowControl w:val="false"/>
              <w:snapToGrid w:val="false"/>
              <w:jc w:val="center"/>
              <w:rPr/>
            </w:pPr>
            <w:r>
              <w:rPr/>
              <w:t>QMB</w:t>
            </w:r>
          </w:p>
        </w:tc>
        <w:tc>
          <w:tcPr>
            <w:tcW w:w="1319" w:type="dxa"/>
            <w:tcBorders>
              <w:top w:val="single" w:sz="4" w:space="0" w:color="000000"/>
              <w:left w:val="single" w:sz="4" w:space="0" w:color="000000"/>
              <w:bottom w:val="double" w:sz="2" w:space="0" w:color="000000"/>
              <w:right w:val="double" w:sz="2" w:space="0" w:color="000000"/>
            </w:tcBorders>
            <w:shd w:color="auto" w:fill="auto" w:val="clear"/>
            <w:vAlign w:val="center"/>
          </w:tcPr>
          <w:p>
            <w:pPr>
              <w:pStyle w:val="NoSpacing"/>
              <w:widowControl w:val="false"/>
              <w:snapToGrid w:val="false"/>
              <w:jc w:val="center"/>
              <w:rPr>
                <w:lang w:val="en-GB"/>
              </w:rPr>
            </w:pPr>
            <w:r>
              <w:rPr>
                <w:lang w:val="en-GB"/>
              </w:rPr>
              <w:t>Auditleiter</w:t>
            </w:r>
          </w:p>
        </w:tc>
      </w:tr>
      <w:tr>
        <w:trPr>
          <w:trHeight w:val="300" w:hRule="atLeast"/>
          <w:cantSplit w:val="true"/>
        </w:trPr>
        <w:tc>
          <w:tcPr>
            <w:tcW w:w="5144" w:type="dxa"/>
            <w:tcBorders>
              <w:top w:val="double" w:sz="2" w:space="0" w:color="000000"/>
              <w:left w:val="double" w:sz="2" w:space="0" w:color="000000"/>
              <w:bottom w:val="single" w:sz="4" w:space="0" w:color="000000"/>
              <w:right w:val="single" w:sz="4" w:space="0" w:color="000000"/>
            </w:tcBorders>
            <w:shd w:color="auto" w:fill="auto" w:val="clear"/>
          </w:tcPr>
          <w:p>
            <w:pPr>
              <w:pStyle w:val="KeinLeerraum1"/>
              <w:widowControl w:val="false"/>
              <w:rPr/>
            </w:pPr>
            <w:r>
              <w:rPr/>
            </w:r>
          </w:p>
        </w:tc>
        <w:tc>
          <w:tcPr>
            <w:tcW w:w="1200" w:type="dxa"/>
            <w:tcBorders>
              <w:top w:val="double" w:sz="2"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snapToGrid w:val="false"/>
              <w:jc w:val="center"/>
              <w:rPr/>
            </w:pPr>
            <w:r>
              <w:rPr/>
            </w:r>
          </w:p>
        </w:tc>
        <w:tc>
          <w:tcPr>
            <w:tcW w:w="1291" w:type="dxa"/>
            <w:tcBorders>
              <w:top w:val="double" w:sz="2"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snapToGrid w:val="false"/>
              <w:jc w:val="center"/>
              <w:rPr/>
            </w:pPr>
            <w:r>
              <w:rPr/>
            </w:r>
          </w:p>
        </w:tc>
        <w:tc>
          <w:tcPr>
            <w:tcW w:w="1319" w:type="dxa"/>
            <w:tcBorders>
              <w:top w:val="double" w:sz="2" w:space="0" w:color="000000"/>
              <w:left w:val="single" w:sz="4" w:space="0" w:color="000000"/>
              <w:bottom w:val="single" w:sz="4" w:space="0" w:color="000000"/>
              <w:right w:val="double" w:sz="2" w:space="0" w:color="000000"/>
            </w:tcBorders>
            <w:shd w:color="auto" w:fill="auto" w:val="clear"/>
            <w:vAlign w:val="center"/>
          </w:tcPr>
          <w:p>
            <w:pPr>
              <w:pStyle w:val="NoSpacing"/>
              <w:widowControl w:val="false"/>
              <w:snapToGrid w:val="false"/>
              <w:jc w:val="center"/>
              <w:rPr/>
            </w:pPr>
            <w:r>
              <w:rPr/>
            </w:r>
          </w:p>
        </w:tc>
      </w:tr>
      <w:tr>
        <w:trPr>
          <w:trHeight w:val="300" w:hRule="atLeast"/>
          <w:cantSplit w:val="true"/>
        </w:trPr>
        <w:tc>
          <w:tcPr>
            <w:tcW w:w="5144" w:type="dxa"/>
            <w:tcBorders>
              <w:top w:val="single" w:sz="4" w:space="0" w:color="000000"/>
              <w:left w:val="double" w:sz="2" w:space="0" w:color="000000"/>
              <w:bottom w:val="single" w:sz="4" w:space="0" w:color="000000"/>
            </w:tcBorders>
            <w:shd w:color="auto" w:fill="auto" w:val="clear"/>
          </w:tcPr>
          <w:p>
            <w:pPr>
              <w:pStyle w:val="KeinLeerraum1"/>
              <w:widowControl w:val="false"/>
              <w:rPr/>
            </w:pPr>
            <w:r>
              <w:rPr>
                <w:rFonts w:asciiTheme="minorHAnsi" w:hAnsiTheme="minorHAnsi"/>
              </w:rPr>
              <w:t>Qualifizierung der Auditoren</w:t>
            </w:r>
          </w:p>
        </w:tc>
        <w:tc>
          <w:tcPr>
            <w:tcW w:w="1200" w:type="dxa"/>
            <w:tcBorders>
              <w:top w:val="single" w:sz="4" w:space="0" w:color="000000"/>
              <w:left w:val="single" w:sz="4" w:space="0" w:color="000000"/>
              <w:bottom w:val="single" w:sz="4" w:space="0" w:color="000000"/>
            </w:tcBorders>
            <w:shd w:color="auto" w:fill="auto" w:val="clear"/>
            <w:vAlign w:val="center"/>
          </w:tcPr>
          <w:p>
            <w:pPr>
              <w:pStyle w:val="NoSpacing"/>
              <w:widowControl w:val="false"/>
              <w:snapToGrid w:val="false"/>
              <w:jc w:val="center"/>
              <w:rPr/>
            </w:pPr>
            <w:r>
              <w:rPr/>
            </w:r>
          </w:p>
        </w:tc>
        <w:tc>
          <w:tcPr>
            <w:tcW w:w="1291" w:type="dxa"/>
            <w:tcBorders>
              <w:top w:val="single" w:sz="4" w:space="0" w:color="000000"/>
              <w:left w:val="single" w:sz="4" w:space="0" w:color="000000"/>
              <w:bottom w:val="single" w:sz="4" w:space="0" w:color="000000"/>
            </w:tcBorders>
            <w:shd w:color="auto" w:fill="auto" w:val="clear"/>
            <w:vAlign w:val="center"/>
          </w:tcPr>
          <w:p>
            <w:pPr>
              <w:pStyle w:val="NoSpacing"/>
              <w:widowControl w:val="false"/>
              <w:snapToGrid w:val="false"/>
              <w:jc w:val="center"/>
              <w:rPr/>
            </w:pPr>
            <w:r>
              <w:rPr/>
              <w:t>D</w:t>
            </w:r>
          </w:p>
        </w:tc>
        <w:tc>
          <w:tcPr>
            <w:tcW w:w="1319"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Spacing"/>
              <w:widowControl w:val="false"/>
              <w:snapToGrid w:val="false"/>
              <w:jc w:val="center"/>
              <w:rPr/>
            </w:pPr>
            <w:r>
              <w:rPr/>
            </w:r>
          </w:p>
        </w:tc>
      </w:tr>
      <w:tr>
        <w:trPr>
          <w:trHeight w:val="300" w:hRule="atLeast"/>
          <w:cantSplit w:val="true"/>
        </w:trPr>
        <w:tc>
          <w:tcPr>
            <w:tcW w:w="5144" w:type="dxa"/>
            <w:tcBorders>
              <w:top w:val="single" w:sz="4" w:space="0" w:color="000000"/>
              <w:left w:val="double" w:sz="2" w:space="0" w:color="000000"/>
              <w:bottom w:val="single" w:sz="4" w:space="0" w:color="000000"/>
            </w:tcBorders>
            <w:shd w:color="auto" w:fill="auto" w:val="clear"/>
          </w:tcPr>
          <w:p>
            <w:pPr>
              <w:pStyle w:val="KeinLeerraum1"/>
              <w:widowControl w:val="false"/>
              <w:rPr>
                <w:rFonts w:ascii="Myriad Pro" w:hAnsi="Myriad Pro" w:asciiTheme="minorHAnsi" w:hAnsiTheme="minorHAnsi"/>
              </w:rPr>
            </w:pPr>
            <w:r>
              <w:rPr/>
              <w:t>Festlegung der Bewertungskriterien</w:t>
            </w:r>
          </w:p>
        </w:tc>
        <w:tc>
          <w:tcPr>
            <w:tcW w:w="1200" w:type="dxa"/>
            <w:tcBorders>
              <w:top w:val="single" w:sz="4" w:space="0" w:color="000000"/>
              <w:left w:val="single" w:sz="4" w:space="0" w:color="000000"/>
              <w:bottom w:val="single" w:sz="4" w:space="0" w:color="000000"/>
            </w:tcBorders>
            <w:shd w:color="auto" w:fill="auto" w:val="clear"/>
            <w:vAlign w:val="center"/>
          </w:tcPr>
          <w:p>
            <w:pPr>
              <w:pStyle w:val="NoSpacing"/>
              <w:widowControl w:val="false"/>
              <w:snapToGrid w:val="false"/>
              <w:jc w:val="center"/>
              <w:rPr/>
            </w:pPr>
            <w:r>
              <w:rPr/>
              <w:t>I</w:t>
            </w:r>
          </w:p>
        </w:tc>
        <w:tc>
          <w:tcPr>
            <w:tcW w:w="1291" w:type="dxa"/>
            <w:tcBorders>
              <w:top w:val="single" w:sz="4" w:space="0" w:color="000000"/>
              <w:left w:val="single" w:sz="4" w:space="0" w:color="000000"/>
              <w:bottom w:val="single" w:sz="4" w:space="0" w:color="000000"/>
            </w:tcBorders>
            <w:shd w:color="auto" w:fill="auto" w:val="clear"/>
            <w:vAlign w:val="center"/>
          </w:tcPr>
          <w:p>
            <w:pPr>
              <w:pStyle w:val="NoSpacing"/>
              <w:widowControl w:val="false"/>
              <w:snapToGrid w:val="false"/>
              <w:jc w:val="center"/>
              <w:rPr/>
            </w:pPr>
            <w:r>
              <w:rPr>
                <w:highlight w:val="yellow"/>
              </w:rPr>
              <w:t>D</w:t>
            </w:r>
          </w:p>
        </w:tc>
        <w:tc>
          <w:tcPr>
            <w:tcW w:w="1319"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Spacing"/>
              <w:widowControl w:val="false"/>
              <w:snapToGrid w:val="false"/>
              <w:jc w:val="center"/>
              <w:rPr/>
            </w:pPr>
            <w:r>
              <w:rPr/>
            </w:r>
          </w:p>
        </w:tc>
      </w:tr>
      <w:tr>
        <w:trPr>
          <w:trHeight w:val="300" w:hRule="atLeast"/>
          <w:cantSplit w:val="true"/>
        </w:trPr>
        <w:tc>
          <w:tcPr>
            <w:tcW w:w="5144" w:type="dxa"/>
            <w:tcBorders>
              <w:left w:val="double" w:sz="2" w:space="0" w:color="000000"/>
              <w:bottom w:val="single" w:sz="4" w:space="0" w:color="000000"/>
            </w:tcBorders>
            <w:shd w:color="auto" w:fill="auto" w:val="clear"/>
            <w:vAlign w:val="center"/>
          </w:tcPr>
          <w:p>
            <w:pPr>
              <w:pStyle w:val="KeinLeerraum1"/>
              <w:widowControl w:val="false"/>
              <w:rPr>
                <w:rFonts w:ascii="Myriad Pro" w:hAnsi="Myriad Pro" w:asciiTheme="minorHAnsi" w:hAnsiTheme="minorHAnsi"/>
              </w:rPr>
            </w:pPr>
            <w:r>
              <w:rPr>
                <w:rFonts w:asciiTheme="minorHAnsi" w:hAnsiTheme="minorHAnsi"/>
              </w:rPr>
              <w:t>Aufstellung des jährlichen Auditplanes</w:t>
            </w:r>
          </w:p>
        </w:tc>
        <w:tc>
          <w:tcPr>
            <w:tcW w:w="1200" w:type="dxa"/>
            <w:tcBorders>
              <w:left w:val="single" w:sz="4" w:space="0" w:color="000000"/>
              <w:bottom w:val="single" w:sz="4"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I</w:t>
            </w:r>
          </w:p>
        </w:tc>
        <w:tc>
          <w:tcPr>
            <w:tcW w:w="1291" w:type="dxa"/>
            <w:tcBorders>
              <w:left w:val="single" w:sz="4" w:space="0" w:color="000000"/>
              <w:bottom w:val="single" w:sz="4"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D</w:t>
            </w:r>
          </w:p>
        </w:tc>
        <w:tc>
          <w:tcPr>
            <w:tcW w:w="1319" w:type="dxa"/>
            <w:tcBorders>
              <w:left w:val="single" w:sz="4" w:space="0" w:color="000000"/>
              <w:bottom w:val="single" w:sz="4" w:space="0" w:color="000000"/>
              <w:right w:val="double" w:sz="2"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r>
          </w:p>
        </w:tc>
      </w:tr>
      <w:tr>
        <w:trPr>
          <w:trHeight w:val="300" w:hRule="atLeast"/>
          <w:cantSplit w:val="true"/>
        </w:trPr>
        <w:tc>
          <w:tcPr>
            <w:tcW w:w="5144" w:type="dxa"/>
            <w:tcBorders>
              <w:left w:val="double" w:sz="2" w:space="0" w:color="000000"/>
              <w:bottom w:val="single" w:sz="4" w:space="0" w:color="000000"/>
            </w:tcBorders>
            <w:shd w:color="auto" w:fill="auto" w:val="clear"/>
            <w:vAlign w:val="center"/>
          </w:tcPr>
          <w:p>
            <w:pPr>
              <w:pStyle w:val="KeinLeerraum1"/>
              <w:widowControl w:val="false"/>
              <w:rPr>
                <w:rFonts w:ascii="Myriad Pro" w:hAnsi="Myriad Pro" w:asciiTheme="minorHAnsi" w:hAnsiTheme="minorHAnsi"/>
              </w:rPr>
            </w:pPr>
            <w:r>
              <w:rPr>
                <w:rFonts w:asciiTheme="minorHAnsi" w:hAnsiTheme="minorHAnsi"/>
              </w:rPr>
              <w:t>Festlegung des Auditplanes für Instandhaltungseinrichtungen</w:t>
            </w:r>
          </w:p>
        </w:tc>
        <w:tc>
          <w:tcPr>
            <w:tcW w:w="1200" w:type="dxa"/>
            <w:tcBorders>
              <w:left w:val="single" w:sz="4" w:space="0" w:color="000000"/>
              <w:bottom w:val="single" w:sz="4"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I</w:t>
            </w:r>
          </w:p>
        </w:tc>
        <w:tc>
          <w:tcPr>
            <w:tcW w:w="1291" w:type="dxa"/>
            <w:tcBorders>
              <w:left w:val="single" w:sz="4" w:space="0" w:color="000000"/>
              <w:bottom w:val="single" w:sz="4"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D</w:t>
            </w:r>
          </w:p>
        </w:tc>
        <w:tc>
          <w:tcPr>
            <w:tcW w:w="1319" w:type="dxa"/>
            <w:tcBorders>
              <w:left w:val="single" w:sz="4" w:space="0" w:color="000000"/>
              <w:bottom w:val="single" w:sz="4" w:space="0" w:color="000000"/>
              <w:right w:val="double" w:sz="2"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r>
          </w:p>
        </w:tc>
      </w:tr>
      <w:tr>
        <w:trPr>
          <w:trHeight w:val="300" w:hRule="atLeast"/>
          <w:cantSplit w:val="true"/>
        </w:trPr>
        <w:tc>
          <w:tcPr>
            <w:tcW w:w="5144" w:type="dxa"/>
            <w:tcBorders>
              <w:left w:val="double" w:sz="2" w:space="0" w:color="000000"/>
              <w:bottom w:val="single" w:sz="4" w:space="0" w:color="000000"/>
            </w:tcBorders>
            <w:shd w:color="auto" w:fill="auto" w:val="clear"/>
            <w:vAlign w:val="center"/>
          </w:tcPr>
          <w:p>
            <w:pPr>
              <w:pStyle w:val="KeinLeerraum1"/>
              <w:widowControl w:val="false"/>
              <w:rPr>
                <w:rFonts w:ascii="Myriad Pro" w:hAnsi="Myriad Pro" w:asciiTheme="minorHAnsi" w:hAnsiTheme="minorHAnsi"/>
              </w:rPr>
            </w:pPr>
            <w:r>
              <w:rPr>
                <w:rFonts w:asciiTheme="minorHAnsi" w:hAnsiTheme="minorHAnsi"/>
              </w:rPr>
              <w:t>Genehmigung des Auditplanes</w:t>
            </w:r>
          </w:p>
        </w:tc>
        <w:tc>
          <w:tcPr>
            <w:tcW w:w="1200" w:type="dxa"/>
            <w:tcBorders>
              <w:left w:val="single" w:sz="4" w:space="0" w:color="000000"/>
              <w:bottom w:val="single" w:sz="4"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D</w:t>
            </w:r>
          </w:p>
        </w:tc>
        <w:tc>
          <w:tcPr>
            <w:tcW w:w="1291" w:type="dxa"/>
            <w:tcBorders>
              <w:left w:val="single" w:sz="4" w:space="0" w:color="000000"/>
              <w:bottom w:val="single" w:sz="4"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I</w:t>
            </w:r>
          </w:p>
        </w:tc>
        <w:tc>
          <w:tcPr>
            <w:tcW w:w="1319" w:type="dxa"/>
            <w:tcBorders>
              <w:left w:val="single" w:sz="4" w:space="0" w:color="000000"/>
              <w:bottom w:val="single" w:sz="4" w:space="0" w:color="000000"/>
              <w:right w:val="double" w:sz="2"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r>
          </w:p>
        </w:tc>
      </w:tr>
      <w:tr>
        <w:trPr>
          <w:trHeight w:val="300" w:hRule="atLeast"/>
          <w:cantSplit w:val="true"/>
        </w:trPr>
        <w:tc>
          <w:tcPr>
            <w:tcW w:w="5144" w:type="dxa"/>
            <w:tcBorders>
              <w:left w:val="double" w:sz="2" w:space="0" w:color="000000"/>
              <w:bottom w:val="single" w:sz="4" w:space="0" w:color="000000"/>
            </w:tcBorders>
            <w:shd w:color="auto" w:fill="auto" w:val="clear"/>
          </w:tcPr>
          <w:p>
            <w:pPr>
              <w:pStyle w:val="KeinLeerraum1"/>
              <w:widowControl w:val="false"/>
              <w:rPr/>
            </w:pPr>
            <w:r>
              <w:rPr>
                <w:rFonts w:asciiTheme="minorHAnsi" w:hAnsiTheme="minorHAnsi"/>
              </w:rPr>
              <w:t>Durchführung der Audits</w:t>
            </w:r>
          </w:p>
        </w:tc>
        <w:tc>
          <w:tcPr>
            <w:tcW w:w="1200" w:type="dxa"/>
            <w:tcBorders>
              <w:left w:val="single" w:sz="4" w:space="0" w:color="000000"/>
              <w:bottom w:val="single" w:sz="4" w:space="0" w:color="000000"/>
            </w:tcBorders>
            <w:shd w:color="auto" w:fill="auto" w:val="clear"/>
            <w:vAlign w:val="center"/>
          </w:tcPr>
          <w:p>
            <w:pPr>
              <w:pStyle w:val="NoSpacing"/>
              <w:widowControl w:val="false"/>
              <w:snapToGrid w:val="false"/>
              <w:jc w:val="center"/>
              <w:rPr/>
            </w:pPr>
            <w:r>
              <w:rPr/>
              <w:t>I</w:t>
            </w:r>
          </w:p>
        </w:tc>
        <w:tc>
          <w:tcPr>
            <w:tcW w:w="1291" w:type="dxa"/>
            <w:tcBorders>
              <w:left w:val="single" w:sz="4" w:space="0" w:color="000000"/>
              <w:bottom w:val="single" w:sz="4" w:space="0" w:color="000000"/>
            </w:tcBorders>
            <w:shd w:color="auto" w:fill="auto" w:val="clear"/>
            <w:vAlign w:val="center"/>
          </w:tcPr>
          <w:p>
            <w:pPr>
              <w:pStyle w:val="NoSpacing"/>
              <w:widowControl w:val="false"/>
              <w:snapToGrid w:val="false"/>
              <w:jc w:val="center"/>
              <w:rPr/>
            </w:pPr>
            <w:r>
              <w:rPr/>
              <w:t>M</w:t>
            </w:r>
          </w:p>
        </w:tc>
        <w:tc>
          <w:tcPr>
            <w:tcW w:w="1319" w:type="dxa"/>
            <w:tcBorders>
              <w:left w:val="single" w:sz="4" w:space="0" w:color="000000"/>
              <w:bottom w:val="single" w:sz="4" w:space="0" w:color="000000"/>
              <w:right w:val="double" w:sz="2" w:space="0" w:color="000000"/>
            </w:tcBorders>
            <w:shd w:color="auto" w:fill="auto" w:val="clear"/>
            <w:vAlign w:val="center"/>
          </w:tcPr>
          <w:p>
            <w:pPr>
              <w:pStyle w:val="NoSpacing"/>
              <w:widowControl w:val="false"/>
              <w:snapToGrid w:val="false"/>
              <w:jc w:val="center"/>
              <w:rPr/>
            </w:pPr>
            <w:r>
              <w:rPr/>
              <w:t>D</w:t>
            </w:r>
          </w:p>
        </w:tc>
      </w:tr>
      <w:tr>
        <w:trPr>
          <w:trHeight w:val="300" w:hRule="atLeast"/>
          <w:cantSplit w:val="true"/>
        </w:trPr>
        <w:tc>
          <w:tcPr>
            <w:tcW w:w="5144" w:type="dxa"/>
            <w:tcBorders>
              <w:left w:val="double" w:sz="2" w:space="0" w:color="000000"/>
              <w:bottom w:val="single" w:sz="4" w:space="0" w:color="000000"/>
            </w:tcBorders>
            <w:shd w:color="auto" w:fill="auto" w:val="clear"/>
          </w:tcPr>
          <w:p>
            <w:pPr>
              <w:pStyle w:val="KeinLeerraum1"/>
              <w:widowControl w:val="false"/>
              <w:rPr/>
            </w:pPr>
            <w:r>
              <w:rPr>
                <w:rFonts w:asciiTheme="minorHAnsi" w:hAnsiTheme="minorHAnsi"/>
              </w:rPr>
              <w:t>Durchführung der Begutachtungen lt. Anhang III</w:t>
            </w:r>
          </w:p>
        </w:tc>
        <w:tc>
          <w:tcPr>
            <w:tcW w:w="1200" w:type="dxa"/>
            <w:tcBorders>
              <w:left w:val="single" w:sz="4" w:space="0" w:color="000000"/>
              <w:bottom w:val="single" w:sz="4" w:space="0" w:color="000000"/>
            </w:tcBorders>
            <w:shd w:color="auto" w:fill="auto" w:val="clear"/>
            <w:vAlign w:val="center"/>
          </w:tcPr>
          <w:p>
            <w:pPr>
              <w:pStyle w:val="NoSpacing"/>
              <w:widowControl w:val="false"/>
              <w:snapToGrid w:val="false"/>
              <w:jc w:val="center"/>
              <w:rPr/>
            </w:pPr>
            <w:r>
              <w:rPr/>
              <w:t>I</w:t>
            </w:r>
          </w:p>
        </w:tc>
        <w:tc>
          <w:tcPr>
            <w:tcW w:w="1291" w:type="dxa"/>
            <w:tcBorders>
              <w:left w:val="single" w:sz="4" w:space="0" w:color="000000"/>
              <w:bottom w:val="single" w:sz="4" w:space="0" w:color="000000"/>
            </w:tcBorders>
            <w:shd w:color="auto" w:fill="auto" w:val="clear"/>
            <w:vAlign w:val="center"/>
          </w:tcPr>
          <w:p>
            <w:pPr>
              <w:pStyle w:val="NoSpacing"/>
              <w:widowControl w:val="false"/>
              <w:snapToGrid w:val="false"/>
              <w:jc w:val="center"/>
              <w:rPr/>
            </w:pPr>
            <w:r>
              <w:rPr/>
              <w:t>D</w:t>
            </w:r>
          </w:p>
        </w:tc>
        <w:tc>
          <w:tcPr>
            <w:tcW w:w="1319" w:type="dxa"/>
            <w:tcBorders>
              <w:left w:val="single" w:sz="4" w:space="0" w:color="000000"/>
              <w:bottom w:val="single" w:sz="4" w:space="0" w:color="000000"/>
              <w:right w:val="double" w:sz="2" w:space="0" w:color="000000"/>
            </w:tcBorders>
            <w:shd w:color="auto" w:fill="auto" w:val="clear"/>
            <w:vAlign w:val="center"/>
          </w:tcPr>
          <w:p>
            <w:pPr>
              <w:pStyle w:val="NoSpacing"/>
              <w:widowControl w:val="false"/>
              <w:snapToGrid w:val="false"/>
              <w:jc w:val="center"/>
              <w:rPr/>
            </w:pPr>
            <w:r>
              <w:rPr/>
            </w:r>
          </w:p>
        </w:tc>
      </w:tr>
      <w:tr>
        <w:trPr>
          <w:trHeight w:val="300" w:hRule="atLeast"/>
          <w:cantSplit w:val="true"/>
        </w:trPr>
        <w:tc>
          <w:tcPr>
            <w:tcW w:w="5144" w:type="dxa"/>
            <w:tcBorders>
              <w:left w:val="double" w:sz="2" w:space="0" w:color="000000"/>
              <w:bottom w:val="single" w:sz="4" w:space="0" w:color="000000"/>
            </w:tcBorders>
            <w:shd w:color="auto" w:fill="auto" w:val="clear"/>
          </w:tcPr>
          <w:p>
            <w:pPr>
              <w:pStyle w:val="KeinLeerraum1"/>
              <w:widowControl w:val="false"/>
              <w:rPr/>
            </w:pPr>
            <w:r>
              <w:rPr/>
              <w:t>Erstellung und Verteilung des Auditberichtes</w:t>
            </w:r>
          </w:p>
        </w:tc>
        <w:tc>
          <w:tcPr>
            <w:tcW w:w="1200" w:type="dxa"/>
            <w:tcBorders>
              <w:left w:val="single" w:sz="4" w:space="0" w:color="000000"/>
              <w:bottom w:val="single" w:sz="4" w:space="0" w:color="000000"/>
            </w:tcBorders>
            <w:shd w:color="auto" w:fill="auto" w:val="clear"/>
            <w:vAlign w:val="center"/>
          </w:tcPr>
          <w:p>
            <w:pPr>
              <w:pStyle w:val="NoSpacing"/>
              <w:widowControl w:val="false"/>
              <w:snapToGrid w:val="false"/>
              <w:jc w:val="center"/>
              <w:rPr/>
            </w:pPr>
            <w:r>
              <w:rPr/>
            </w:r>
          </w:p>
        </w:tc>
        <w:tc>
          <w:tcPr>
            <w:tcW w:w="1291" w:type="dxa"/>
            <w:tcBorders>
              <w:left w:val="single" w:sz="4" w:space="0" w:color="000000"/>
              <w:bottom w:val="single" w:sz="4" w:space="0" w:color="000000"/>
            </w:tcBorders>
            <w:shd w:color="auto" w:fill="auto" w:val="clear"/>
            <w:vAlign w:val="center"/>
          </w:tcPr>
          <w:p>
            <w:pPr>
              <w:pStyle w:val="NoSpacing"/>
              <w:widowControl w:val="false"/>
              <w:snapToGrid w:val="false"/>
              <w:jc w:val="center"/>
              <w:rPr/>
            </w:pPr>
            <w:r>
              <w:rPr/>
              <w:t>I</w:t>
            </w:r>
          </w:p>
        </w:tc>
        <w:tc>
          <w:tcPr>
            <w:tcW w:w="1319" w:type="dxa"/>
            <w:tcBorders>
              <w:left w:val="single" w:sz="4" w:space="0" w:color="000000"/>
              <w:bottom w:val="single" w:sz="4" w:space="0" w:color="000000"/>
              <w:right w:val="double" w:sz="2" w:space="0" w:color="000000"/>
            </w:tcBorders>
            <w:shd w:color="auto" w:fill="auto" w:val="clear"/>
            <w:vAlign w:val="center"/>
          </w:tcPr>
          <w:p>
            <w:pPr>
              <w:pStyle w:val="NoSpacing"/>
              <w:widowControl w:val="false"/>
              <w:snapToGrid w:val="false"/>
              <w:jc w:val="center"/>
              <w:rPr/>
            </w:pPr>
            <w:r>
              <w:rPr/>
              <w:t>D</w:t>
            </w:r>
          </w:p>
        </w:tc>
      </w:tr>
      <w:tr>
        <w:trPr>
          <w:trHeight w:val="300" w:hRule="atLeast"/>
          <w:cantSplit w:val="true"/>
        </w:trPr>
        <w:tc>
          <w:tcPr>
            <w:tcW w:w="5144" w:type="dxa"/>
            <w:tcBorders>
              <w:left w:val="double" w:sz="2" w:space="0" w:color="000000"/>
              <w:bottom w:val="double" w:sz="2" w:space="0" w:color="000000"/>
            </w:tcBorders>
            <w:shd w:color="auto" w:fill="auto" w:val="clear"/>
          </w:tcPr>
          <w:p>
            <w:pPr>
              <w:pStyle w:val="KeinLeerraum1"/>
              <w:widowControl w:val="false"/>
              <w:rPr/>
            </w:pPr>
            <w:r>
              <w:rPr>
                <w:rFonts w:asciiTheme="minorHAnsi" w:hAnsiTheme="minorHAnsi"/>
              </w:rPr>
              <w:t xml:space="preserve">Information der Zertifizierungsstelle über durchgeführte Audits nach Anhang II </w:t>
            </w:r>
            <w:r>
              <w:rPr>
                <w:rFonts w:asciiTheme="minorHAnsi" w:hAnsiTheme="minorHAnsi"/>
              </w:rPr>
              <w:t>D</w:t>
            </w:r>
            <w:r>
              <w:rPr>
                <w:rFonts w:asciiTheme="minorHAnsi" w:hAnsiTheme="minorHAnsi"/>
              </w:rPr>
              <w:t xml:space="preserve">VO(EU) </w:t>
            </w:r>
            <w:r>
              <w:rPr>
                <w:rFonts w:asciiTheme="minorHAnsi" w:hAnsiTheme="minorHAnsi"/>
              </w:rPr>
              <w:t>2019/779</w:t>
            </w:r>
          </w:p>
        </w:tc>
        <w:tc>
          <w:tcPr>
            <w:tcW w:w="1200" w:type="dxa"/>
            <w:tcBorders>
              <w:left w:val="single" w:sz="4" w:space="0" w:color="000000"/>
              <w:bottom w:val="double" w:sz="2" w:space="0" w:color="000000"/>
            </w:tcBorders>
            <w:shd w:color="auto" w:fill="auto" w:val="clear"/>
            <w:vAlign w:val="center"/>
          </w:tcPr>
          <w:p>
            <w:pPr>
              <w:pStyle w:val="NoSpacing"/>
              <w:widowControl w:val="false"/>
              <w:snapToGrid w:val="false"/>
              <w:jc w:val="center"/>
              <w:rPr/>
            </w:pPr>
            <w:r>
              <w:rPr/>
            </w:r>
          </w:p>
        </w:tc>
        <w:tc>
          <w:tcPr>
            <w:tcW w:w="1291" w:type="dxa"/>
            <w:tcBorders>
              <w:left w:val="single" w:sz="4" w:space="0" w:color="000000"/>
              <w:bottom w:val="double" w:sz="2" w:space="0" w:color="000000"/>
            </w:tcBorders>
            <w:shd w:color="auto" w:fill="auto" w:val="clear"/>
            <w:vAlign w:val="center"/>
          </w:tcPr>
          <w:p>
            <w:pPr>
              <w:pStyle w:val="NoSpacing"/>
              <w:widowControl w:val="false"/>
              <w:snapToGrid w:val="false"/>
              <w:jc w:val="center"/>
              <w:rPr/>
            </w:pPr>
            <w:r>
              <w:rPr/>
              <w:t>D</w:t>
            </w:r>
          </w:p>
        </w:tc>
        <w:tc>
          <w:tcPr>
            <w:tcW w:w="1319" w:type="dxa"/>
            <w:tcBorders>
              <w:left w:val="single" w:sz="4" w:space="0" w:color="000000"/>
              <w:bottom w:val="double" w:sz="2" w:space="0" w:color="000000"/>
              <w:right w:val="double" w:sz="2" w:space="0" w:color="000000"/>
            </w:tcBorders>
            <w:shd w:color="auto" w:fill="auto" w:val="clear"/>
            <w:vAlign w:val="center"/>
          </w:tcPr>
          <w:p>
            <w:pPr>
              <w:pStyle w:val="NoSpacing"/>
              <w:widowControl w:val="false"/>
              <w:snapToGrid w:val="false"/>
              <w:jc w:val="center"/>
              <w:rPr/>
            </w:pPr>
            <w:r>
              <w:rPr/>
            </w:r>
          </w:p>
        </w:tc>
      </w:tr>
    </w:tbl>
    <w:p>
      <w:pPr>
        <w:pStyle w:val="Normal"/>
        <w:ind w:firstLine="708"/>
        <w:jc w:val="center"/>
        <w:rPr>
          <w:sz w:val="20"/>
        </w:rPr>
      </w:pPr>
      <w:r>
        <w:rPr>
          <w:sz w:val="20"/>
        </w:rPr>
        <w:t>D – Durchführungsverantwortung</w:t>
        <w:tab/>
        <w:t>I - Information</w:t>
        <w:tab/>
        <w:tab/>
        <w:t>M – Mitwirkung</w:t>
      </w:r>
    </w:p>
    <w:p>
      <w:pPr>
        <w:pStyle w:val="Normal"/>
        <w:rPr/>
      </w:pPr>
      <w:r>
        <w:rPr/>
      </w:r>
      <w:r>
        <w:br w:type="page"/>
      </w:r>
    </w:p>
    <w:tbl>
      <w:tblPr>
        <w:tblW w:w="8955" w:type="dxa"/>
        <w:jc w:val="left"/>
        <w:tblInd w:w="139" w:type="dxa"/>
        <w:tblLayout w:type="fixed"/>
        <w:tblCellMar>
          <w:top w:w="0" w:type="dxa"/>
          <w:left w:w="71" w:type="dxa"/>
          <w:bottom w:w="0" w:type="dxa"/>
          <w:right w:w="71" w:type="dxa"/>
        </w:tblCellMar>
        <w:tblLook w:val="0000" w:noHBand="0" w:noVBand="0" w:firstColumn="0" w:lastRow="0" w:lastColumn="0" w:firstRow="0"/>
      </w:tblPr>
      <w:tblGrid>
        <w:gridCol w:w="5144"/>
        <w:gridCol w:w="1200"/>
        <w:gridCol w:w="1291"/>
        <w:gridCol w:w="1319"/>
      </w:tblGrid>
      <w:tr>
        <w:trPr>
          <w:cantSplit w:val="true"/>
        </w:trPr>
        <w:tc>
          <w:tcPr>
            <w:tcW w:w="5144" w:type="dxa"/>
            <w:vMerge w:val="restart"/>
            <w:tcBorders>
              <w:top w:val="double" w:sz="2" w:space="0" w:color="000000"/>
              <w:left w:val="double" w:sz="2" w:space="0" w:color="000000"/>
              <w:bottom w:val="double" w:sz="2" w:space="0" w:color="000000"/>
            </w:tcBorders>
            <w:shd w:color="auto" w:fill="auto" w:val="clear"/>
            <w:vAlign w:val="center"/>
          </w:tcPr>
          <w:p>
            <w:pPr>
              <w:pStyle w:val="NoSpacing"/>
              <w:pageBreakBefore/>
              <w:widowControl w:val="false"/>
              <w:snapToGrid w:val="false"/>
              <w:rPr>
                <w:b/>
                <w:b/>
              </w:rPr>
            </w:pPr>
            <w:r>
              <w:rPr>
                <w:b/>
              </w:rPr>
              <w:t>Aufgaben / Verfahren</w:t>
            </w:r>
          </w:p>
        </w:tc>
        <w:tc>
          <w:tcPr>
            <w:tcW w:w="3810" w:type="dxa"/>
            <w:gridSpan w:val="3"/>
            <w:tcBorders>
              <w:top w:val="double" w:sz="2" w:space="0" w:color="000000"/>
              <w:left w:val="single" w:sz="4" w:space="0" w:color="000000"/>
              <w:bottom w:val="single" w:sz="4" w:space="0" w:color="000000"/>
              <w:right w:val="double" w:sz="2" w:space="0" w:color="000000"/>
            </w:tcBorders>
            <w:shd w:color="auto" w:fill="auto" w:val="clear"/>
          </w:tcPr>
          <w:p>
            <w:pPr>
              <w:pStyle w:val="NoSpacing"/>
              <w:widowControl w:val="false"/>
              <w:snapToGrid w:val="false"/>
              <w:jc w:val="center"/>
              <w:rPr>
                <w:b/>
                <w:b/>
              </w:rPr>
            </w:pPr>
            <w:r>
              <w:rPr>
                <w:b/>
              </w:rPr>
              <w:t>Verantwortung</w:t>
            </w:r>
          </w:p>
        </w:tc>
      </w:tr>
      <w:tr>
        <w:trPr>
          <w:cantSplit w:val="true"/>
        </w:trPr>
        <w:tc>
          <w:tcPr>
            <w:tcW w:w="5144" w:type="dxa"/>
            <w:vMerge w:val="continue"/>
            <w:tcBorders>
              <w:top w:val="double" w:sz="2" w:space="0" w:color="000000"/>
              <w:left w:val="double" w:sz="2" w:space="0" w:color="000000"/>
              <w:bottom w:val="double" w:sz="2" w:space="0" w:color="000000"/>
            </w:tcBorders>
            <w:shd w:color="auto" w:fill="auto" w:val="clear"/>
            <w:vAlign w:val="center"/>
          </w:tcPr>
          <w:p>
            <w:pPr>
              <w:pStyle w:val="Normal"/>
              <w:widowControl w:val="false"/>
              <w:snapToGrid w:val="false"/>
              <w:spacing w:before="40" w:after="40"/>
              <w:rPr>
                <w:rFonts w:ascii="Times New Roman" w:hAnsi="Times New Roman"/>
              </w:rPr>
            </w:pPr>
            <w:r>
              <w:rPr>
                <w:rFonts w:ascii="Times New Roman" w:hAnsi="Times New Roman"/>
              </w:rPr>
            </w:r>
          </w:p>
        </w:tc>
        <w:tc>
          <w:tcPr>
            <w:tcW w:w="1200" w:type="dxa"/>
            <w:tcBorders>
              <w:left w:val="single" w:sz="4" w:space="0" w:color="000000"/>
              <w:bottom w:val="double" w:sz="2" w:space="0" w:color="000000"/>
            </w:tcBorders>
            <w:shd w:color="auto" w:fill="auto" w:val="clear"/>
            <w:vAlign w:val="center"/>
          </w:tcPr>
          <w:p>
            <w:pPr>
              <w:pStyle w:val="NoSpacing"/>
              <w:widowControl w:val="false"/>
              <w:snapToGrid w:val="false"/>
              <w:jc w:val="center"/>
              <w:rPr/>
            </w:pPr>
            <w:r>
              <w:rPr/>
              <w:t>GF</w:t>
            </w:r>
          </w:p>
        </w:tc>
        <w:tc>
          <w:tcPr>
            <w:tcW w:w="1291" w:type="dxa"/>
            <w:tcBorders>
              <w:left w:val="single" w:sz="4" w:space="0" w:color="000000"/>
              <w:bottom w:val="double" w:sz="2" w:space="0" w:color="000000"/>
            </w:tcBorders>
            <w:shd w:color="auto" w:fill="auto" w:val="clear"/>
            <w:vAlign w:val="center"/>
          </w:tcPr>
          <w:p>
            <w:pPr>
              <w:pStyle w:val="NoSpacing"/>
              <w:widowControl w:val="false"/>
              <w:snapToGrid w:val="false"/>
              <w:jc w:val="center"/>
              <w:rPr/>
            </w:pPr>
            <w:r>
              <w:rPr/>
              <w:t>QMB</w:t>
            </w:r>
          </w:p>
        </w:tc>
        <w:tc>
          <w:tcPr>
            <w:tcW w:w="1319" w:type="dxa"/>
            <w:tcBorders>
              <w:top w:val="single" w:sz="4" w:space="0" w:color="000000"/>
              <w:left w:val="single" w:sz="4" w:space="0" w:color="000000"/>
              <w:bottom w:val="double" w:sz="2" w:space="0" w:color="000000"/>
              <w:right w:val="double" w:sz="2" w:space="0" w:color="000000"/>
            </w:tcBorders>
            <w:shd w:color="auto" w:fill="auto" w:val="clear"/>
            <w:vAlign w:val="center"/>
          </w:tcPr>
          <w:p>
            <w:pPr>
              <w:pStyle w:val="NoSpacing"/>
              <w:widowControl w:val="false"/>
              <w:snapToGrid w:val="false"/>
              <w:jc w:val="center"/>
              <w:rPr>
                <w:highlight w:val="yellow"/>
                <w:lang w:val="en-GB"/>
              </w:rPr>
            </w:pPr>
            <w:r>
              <w:rPr>
                <w:highlight w:val="yellow"/>
                <w:lang w:val="en-GB"/>
              </w:rPr>
              <w:t>Leiter des</w:t>
            </w:r>
          </w:p>
          <w:p>
            <w:pPr>
              <w:pStyle w:val="NoSpacing"/>
              <w:widowControl w:val="false"/>
              <w:snapToGrid w:val="false"/>
              <w:jc w:val="center"/>
              <w:rPr>
                <w:lang w:val="en-GB"/>
              </w:rPr>
            </w:pPr>
            <w:r>
              <w:rPr>
                <w:highlight w:val="yellow"/>
                <w:lang w:val="en-GB"/>
              </w:rPr>
              <w:t>Bereiches</w:t>
            </w:r>
          </w:p>
        </w:tc>
      </w:tr>
      <w:tr>
        <w:trPr>
          <w:trHeight w:val="300" w:hRule="atLeast"/>
          <w:cantSplit w:val="true"/>
        </w:trPr>
        <w:tc>
          <w:tcPr>
            <w:tcW w:w="5144" w:type="dxa"/>
            <w:tcBorders>
              <w:top w:val="double" w:sz="2" w:space="0" w:color="000000"/>
              <w:left w:val="double" w:sz="2" w:space="0" w:color="000000"/>
              <w:bottom w:val="single" w:sz="4" w:space="0" w:color="000000"/>
              <w:right w:val="single" w:sz="4" w:space="0" w:color="000000"/>
            </w:tcBorders>
            <w:shd w:color="auto" w:fill="auto" w:val="clear"/>
          </w:tcPr>
          <w:p>
            <w:pPr>
              <w:pStyle w:val="KeinLeerraum1"/>
              <w:widowControl w:val="false"/>
              <w:rPr/>
            </w:pPr>
            <w:r>
              <w:rPr/>
            </w:r>
          </w:p>
        </w:tc>
        <w:tc>
          <w:tcPr>
            <w:tcW w:w="1200" w:type="dxa"/>
            <w:tcBorders>
              <w:top w:val="double" w:sz="2"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snapToGrid w:val="false"/>
              <w:jc w:val="center"/>
              <w:rPr/>
            </w:pPr>
            <w:r>
              <w:rPr/>
            </w:r>
          </w:p>
        </w:tc>
        <w:tc>
          <w:tcPr>
            <w:tcW w:w="1291" w:type="dxa"/>
            <w:tcBorders>
              <w:top w:val="double" w:sz="2"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snapToGrid w:val="false"/>
              <w:jc w:val="center"/>
              <w:rPr/>
            </w:pPr>
            <w:r>
              <w:rPr/>
            </w:r>
          </w:p>
        </w:tc>
        <w:tc>
          <w:tcPr>
            <w:tcW w:w="1319" w:type="dxa"/>
            <w:tcBorders>
              <w:top w:val="double" w:sz="2" w:space="0" w:color="000000"/>
              <w:left w:val="single" w:sz="4" w:space="0" w:color="000000"/>
              <w:bottom w:val="single" w:sz="4" w:space="0" w:color="000000"/>
              <w:right w:val="double" w:sz="2" w:space="0" w:color="000000"/>
            </w:tcBorders>
            <w:shd w:color="auto" w:fill="auto" w:val="clear"/>
            <w:vAlign w:val="center"/>
          </w:tcPr>
          <w:p>
            <w:pPr>
              <w:pStyle w:val="NoSpacing"/>
              <w:widowControl w:val="false"/>
              <w:snapToGrid w:val="false"/>
              <w:jc w:val="center"/>
              <w:rPr/>
            </w:pPr>
            <w:r>
              <w:rPr/>
            </w:r>
          </w:p>
        </w:tc>
      </w:tr>
      <w:tr>
        <w:trPr>
          <w:trHeight w:val="300" w:hRule="atLeast"/>
          <w:cantSplit w:val="true"/>
        </w:trPr>
        <w:tc>
          <w:tcPr>
            <w:tcW w:w="5144" w:type="dxa"/>
            <w:tcBorders>
              <w:top w:val="single" w:sz="4" w:space="0" w:color="000000"/>
              <w:left w:val="double" w:sz="2" w:space="0" w:color="000000"/>
              <w:bottom w:val="single" w:sz="4" w:space="0" w:color="000000"/>
            </w:tcBorders>
            <w:shd w:color="auto" w:fill="auto" w:val="clear"/>
          </w:tcPr>
          <w:p>
            <w:pPr>
              <w:pStyle w:val="KeinLeerraum1"/>
              <w:widowControl w:val="false"/>
              <w:rPr/>
            </w:pPr>
            <w:r>
              <w:rPr>
                <w:rFonts w:asciiTheme="minorHAnsi" w:hAnsiTheme="minorHAnsi"/>
              </w:rPr>
              <w:t xml:space="preserve">Einleitung </w:t>
            </w:r>
            <w:r>
              <w:rPr>
                <w:rFonts w:asciiTheme="minorHAnsi" w:hAnsiTheme="minorHAnsi"/>
                <w:highlight w:val="yellow"/>
              </w:rPr>
              <w:t>ggf.</w:t>
            </w:r>
            <w:r>
              <w:rPr>
                <w:rFonts w:asciiTheme="minorHAnsi" w:hAnsiTheme="minorHAnsi"/>
              </w:rPr>
              <w:t xml:space="preserve"> notwendiger </w:t>
            </w:r>
            <w:r>
              <w:rPr>
                <w:rFonts w:asciiTheme="minorHAnsi" w:hAnsiTheme="minorHAnsi"/>
                <w:highlight w:val="yellow"/>
              </w:rPr>
              <w:t>Sofortmaßnahmen</w:t>
            </w:r>
          </w:p>
        </w:tc>
        <w:tc>
          <w:tcPr>
            <w:tcW w:w="1200" w:type="dxa"/>
            <w:tcBorders>
              <w:top w:val="single" w:sz="4" w:space="0" w:color="000000"/>
              <w:left w:val="single" w:sz="4" w:space="0" w:color="000000"/>
              <w:bottom w:val="single" w:sz="4" w:space="0" w:color="000000"/>
            </w:tcBorders>
            <w:shd w:color="auto" w:fill="auto" w:val="clear"/>
            <w:vAlign w:val="center"/>
          </w:tcPr>
          <w:p>
            <w:pPr>
              <w:pStyle w:val="NoSpacing"/>
              <w:widowControl w:val="false"/>
              <w:snapToGrid w:val="false"/>
              <w:jc w:val="center"/>
              <w:rPr/>
            </w:pPr>
            <w:r>
              <w:rPr>
                <w:highlight w:val="yellow"/>
              </w:rPr>
              <w:t>I</w:t>
            </w:r>
          </w:p>
        </w:tc>
        <w:tc>
          <w:tcPr>
            <w:tcW w:w="1291" w:type="dxa"/>
            <w:tcBorders>
              <w:top w:val="single" w:sz="4" w:space="0" w:color="000000"/>
              <w:left w:val="single" w:sz="4" w:space="0" w:color="000000"/>
              <w:bottom w:val="single" w:sz="4" w:space="0" w:color="000000"/>
            </w:tcBorders>
            <w:shd w:color="auto" w:fill="auto" w:val="clear"/>
            <w:vAlign w:val="center"/>
          </w:tcPr>
          <w:p>
            <w:pPr>
              <w:pStyle w:val="NoSpacing"/>
              <w:widowControl w:val="false"/>
              <w:snapToGrid w:val="false"/>
              <w:jc w:val="center"/>
              <w:rPr/>
            </w:pPr>
            <w:r>
              <w:rPr>
                <w:highlight w:val="yellow"/>
              </w:rPr>
              <w:t>D</w:t>
            </w:r>
          </w:p>
        </w:tc>
        <w:tc>
          <w:tcPr>
            <w:tcW w:w="1319"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Spacing"/>
              <w:widowControl w:val="false"/>
              <w:snapToGrid w:val="false"/>
              <w:jc w:val="center"/>
              <w:rPr/>
            </w:pPr>
            <w:r>
              <w:rPr/>
              <w:t>D</w:t>
            </w:r>
          </w:p>
        </w:tc>
      </w:tr>
      <w:tr>
        <w:trPr>
          <w:trHeight w:val="300" w:hRule="atLeast"/>
          <w:cantSplit w:val="true"/>
        </w:trPr>
        <w:tc>
          <w:tcPr>
            <w:tcW w:w="5144" w:type="dxa"/>
            <w:tcBorders>
              <w:top w:val="single" w:sz="4" w:space="0" w:color="000000"/>
              <w:left w:val="double" w:sz="2" w:space="0" w:color="000000"/>
              <w:bottom w:val="single" w:sz="4" w:space="0" w:color="000000"/>
            </w:tcBorders>
            <w:shd w:color="auto" w:fill="auto" w:val="clear"/>
          </w:tcPr>
          <w:p>
            <w:pPr>
              <w:pStyle w:val="KeinLeerraum1"/>
              <w:widowControl w:val="false"/>
              <w:rPr>
                <w:rFonts w:ascii="Myriad Pro" w:hAnsi="Myriad Pro" w:asciiTheme="minorHAnsi" w:hAnsiTheme="minorHAnsi"/>
              </w:rPr>
            </w:pPr>
            <w:r>
              <w:rPr/>
              <w:t>Festlegung notwendiger Korrekturmaßnahmen</w:t>
            </w:r>
          </w:p>
        </w:tc>
        <w:tc>
          <w:tcPr>
            <w:tcW w:w="1200" w:type="dxa"/>
            <w:tcBorders>
              <w:top w:val="single" w:sz="4" w:space="0" w:color="000000"/>
              <w:left w:val="single" w:sz="4" w:space="0" w:color="000000"/>
              <w:bottom w:val="single" w:sz="4" w:space="0" w:color="000000"/>
            </w:tcBorders>
            <w:shd w:color="auto" w:fill="auto" w:val="clear"/>
            <w:vAlign w:val="center"/>
          </w:tcPr>
          <w:p>
            <w:pPr>
              <w:pStyle w:val="NoSpacing"/>
              <w:widowControl w:val="false"/>
              <w:snapToGrid w:val="false"/>
              <w:jc w:val="center"/>
              <w:rPr/>
            </w:pPr>
            <w:r>
              <w:rPr/>
            </w:r>
          </w:p>
        </w:tc>
        <w:tc>
          <w:tcPr>
            <w:tcW w:w="1291" w:type="dxa"/>
            <w:tcBorders>
              <w:top w:val="single" w:sz="4" w:space="0" w:color="000000"/>
              <w:left w:val="single" w:sz="4" w:space="0" w:color="000000"/>
              <w:bottom w:val="single" w:sz="4" w:space="0" w:color="000000"/>
            </w:tcBorders>
            <w:shd w:color="auto" w:fill="auto" w:val="clear"/>
            <w:vAlign w:val="center"/>
          </w:tcPr>
          <w:p>
            <w:pPr>
              <w:pStyle w:val="NoSpacing"/>
              <w:widowControl w:val="false"/>
              <w:snapToGrid w:val="false"/>
              <w:jc w:val="center"/>
              <w:rPr/>
            </w:pPr>
            <w:r>
              <w:rPr/>
              <w:t>M</w:t>
            </w:r>
          </w:p>
        </w:tc>
        <w:tc>
          <w:tcPr>
            <w:tcW w:w="1319"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Spacing"/>
              <w:widowControl w:val="false"/>
              <w:snapToGrid w:val="false"/>
              <w:jc w:val="center"/>
              <w:rPr/>
            </w:pPr>
            <w:r>
              <w:rPr/>
              <w:t>D</w:t>
            </w:r>
          </w:p>
        </w:tc>
      </w:tr>
      <w:tr>
        <w:trPr>
          <w:trHeight w:val="300" w:hRule="atLeast"/>
          <w:cantSplit w:val="true"/>
        </w:trPr>
        <w:tc>
          <w:tcPr>
            <w:tcW w:w="5144" w:type="dxa"/>
            <w:tcBorders>
              <w:left w:val="double" w:sz="2" w:space="0" w:color="000000"/>
              <w:bottom w:val="single" w:sz="4" w:space="0" w:color="000000"/>
            </w:tcBorders>
            <w:shd w:color="auto" w:fill="auto" w:val="clear"/>
            <w:vAlign w:val="center"/>
          </w:tcPr>
          <w:p>
            <w:pPr>
              <w:pStyle w:val="KeinLeerraum1"/>
              <w:widowControl w:val="false"/>
              <w:rPr>
                <w:rFonts w:ascii="Myriad Pro" w:hAnsi="Myriad Pro" w:asciiTheme="minorHAnsi" w:hAnsiTheme="minorHAnsi"/>
              </w:rPr>
            </w:pPr>
            <w:r>
              <w:rPr>
                <w:rFonts w:asciiTheme="minorHAnsi" w:hAnsiTheme="minorHAnsi"/>
              </w:rPr>
              <w:t>Verifizierung der ergriffenen Maßnahmen</w:t>
            </w:r>
          </w:p>
        </w:tc>
        <w:tc>
          <w:tcPr>
            <w:tcW w:w="1200" w:type="dxa"/>
            <w:tcBorders>
              <w:left w:val="single" w:sz="4" w:space="0" w:color="000000"/>
              <w:bottom w:val="single" w:sz="4"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I</w:t>
            </w:r>
          </w:p>
        </w:tc>
        <w:tc>
          <w:tcPr>
            <w:tcW w:w="1291" w:type="dxa"/>
            <w:tcBorders>
              <w:left w:val="single" w:sz="4" w:space="0" w:color="000000"/>
              <w:bottom w:val="single" w:sz="4"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D</w:t>
            </w:r>
          </w:p>
        </w:tc>
        <w:tc>
          <w:tcPr>
            <w:tcW w:w="1319" w:type="dxa"/>
            <w:tcBorders>
              <w:left w:val="single" w:sz="4" w:space="0" w:color="000000"/>
              <w:bottom w:val="single" w:sz="4" w:space="0" w:color="000000"/>
              <w:right w:val="double" w:sz="2"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D</w:t>
            </w:r>
          </w:p>
        </w:tc>
      </w:tr>
      <w:tr>
        <w:trPr>
          <w:trHeight w:val="300" w:hRule="atLeast"/>
          <w:cantSplit w:val="true"/>
        </w:trPr>
        <w:tc>
          <w:tcPr>
            <w:tcW w:w="5144" w:type="dxa"/>
            <w:tcBorders>
              <w:left w:val="double" w:sz="2" w:space="0" w:color="000000"/>
              <w:bottom w:val="double" w:sz="2" w:space="0" w:color="000000"/>
            </w:tcBorders>
            <w:shd w:color="auto" w:fill="auto" w:val="clear"/>
            <w:vAlign w:val="center"/>
          </w:tcPr>
          <w:p>
            <w:pPr>
              <w:pStyle w:val="KeinLeerraum1"/>
              <w:widowControl w:val="false"/>
              <w:rPr>
                <w:rFonts w:ascii="Myriad Pro" w:hAnsi="Myriad Pro" w:asciiTheme="minorHAnsi" w:hAnsiTheme="minorHAnsi"/>
              </w:rPr>
            </w:pPr>
            <w:r>
              <w:rPr>
                <w:rFonts w:asciiTheme="minorHAnsi" w:hAnsiTheme="minorHAnsi"/>
              </w:rPr>
              <w:t>Berichterstattung zu den Verifizierungsergebnissen</w:t>
            </w:r>
          </w:p>
        </w:tc>
        <w:tc>
          <w:tcPr>
            <w:tcW w:w="1200" w:type="dxa"/>
            <w:tcBorders>
              <w:left w:val="single" w:sz="4" w:space="0" w:color="000000"/>
              <w:bottom w:val="double" w:sz="2"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I</w:t>
            </w:r>
          </w:p>
        </w:tc>
        <w:tc>
          <w:tcPr>
            <w:tcW w:w="1291" w:type="dxa"/>
            <w:tcBorders>
              <w:left w:val="single" w:sz="4" w:space="0" w:color="000000"/>
              <w:bottom w:val="double" w:sz="2"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D</w:t>
            </w:r>
          </w:p>
        </w:tc>
        <w:tc>
          <w:tcPr>
            <w:tcW w:w="1319" w:type="dxa"/>
            <w:tcBorders>
              <w:left w:val="single" w:sz="4" w:space="0" w:color="000000"/>
              <w:bottom w:val="double" w:sz="2" w:space="0" w:color="000000"/>
              <w:right w:val="double" w:sz="2" w:space="0" w:color="000000"/>
            </w:tcBorders>
            <w:shd w:color="auto" w:fill="auto" w:val="clear"/>
            <w:vAlign w:val="center"/>
          </w:tcPr>
          <w:p>
            <w:pPr>
              <w:pStyle w:val="KeinLeerraum1"/>
              <w:widowControl w:val="false"/>
              <w:jc w:val="center"/>
              <w:rPr>
                <w:rFonts w:ascii="Myriad Pro" w:hAnsi="Myriad Pro" w:asciiTheme="minorHAnsi" w:hAnsiTheme="minorHAnsi"/>
              </w:rPr>
            </w:pPr>
            <w:r>
              <w:rPr>
                <w:rFonts w:asciiTheme="minorHAnsi" w:hAnsiTheme="minorHAnsi"/>
              </w:rPr>
              <w:t>I</w:t>
            </w:r>
          </w:p>
        </w:tc>
      </w:tr>
    </w:tbl>
    <w:p>
      <w:pPr>
        <w:pStyle w:val="Normal"/>
        <w:ind w:firstLine="708"/>
        <w:jc w:val="center"/>
        <w:rPr>
          <w:sz w:val="20"/>
        </w:rPr>
      </w:pPr>
      <w:r>
        <w:rPr>
          <w:sz w:val="20"/>
        </w:rPr>
        <w:t>D – Durchführungsverantwortung</w:t>
        <w:tab/>
        <w:t>I - Information</w:t>
        <w:tab/>
        <w:tab/>
        <w:t>M – Mitwirkung</w:t>
      </w:r>
    </w:p>
    <w:p>
      <w:pPr>
        <w:pStyle w:val="Berschrift1"/>
        <w:rPr/>
      </w:pPr>
      <w:bookmarkStart w:id="16" w:name="__RefHeading__17_1337006388"/>
      <w:bookmarkStart w:id="17" w:name="_Toc446344711"/>
      <w:bookmarkStart w:id="18" w:name="_Toc282157749"/>
      <w:bookmarkStart w:id="19" w:name="_Toc454093973"/>
      <w:bookmarkEnd w:id="16"/>
      <w:r>
        <w:rPr/>
        <w:t>4. Beschreibung</w:t>
      </w:r>
      <w:bookmarkEnd w:id="17"/>
      <w:bookmarkEnd w:id="18"/>
      <w:bookmarkEnd w:id="19"/>
    </w:p>
    <w:p>
      <w:pPr>
        <w:pStyle w:val="Berschrift2"/>
        <w:rPr>
          <w:lang w:eastAsia="de-DE"/>
        </w:rPr>
      </w:pPr>
      <w:bookmarkStart w:id="20" w:name="_Toc446344712"/>
      <w:r>
        <w:rPr>
          <w:lang w:eastAsia="de-DE"/>
        </w:rPr>
        <w:t>4.1 Arten und Umfang von Audits</w:t>
      </w:r>
      <w:bookmarkEnd w:id="20"/>
    </w:p>
    <w:p>
      <w:pPr>
        <w:pStyle w:val="Berschrift3"/>
        <w:spacing w:before="120" w:after="120"/>
        <w:rPr>
          <w:lang w:eastAsia="de-DE"/>
        </w:rPr>
      </w:pPr>
      <w:bookmarkStart w:id="21" w:name="_Toc446344713"/>
      <w:r>
        <w:rPr>
          <w:lang w:eastAsia="de-DE"/>
        </w:rPr>
        <w:t>4.1.1 Interne Audits</w:t>
      </w:r>
      <w:bookmarkEnd w:id="21"/>
    </w:p>
    <w:p>
      <w:pPr>
        <w:pStyle w:val="Normal"/>
        <w:rPr/>
      </w:pPr>
      <w:r>
        <w:rPr/>
        <w:t xml:space="preserve">Die durchzuführenden Audits berücksichtigen die Bedeutung der zu auditierenden Prozesse und Bereiche sowie die Ergebnisse früherer Audits. Folgende </w:t>
      </w:r>
      <w:r>
        <w:rPr>
          <w:highlight w:val="yellow"/>
        </w:rPr>
        <w:t>interne</w:t>
      </w:r>
      <w:r>
        <w:rPr/>
        <w:t xml:space="preserve"> Auditarten finden Anwendung:</w:t>
      </w:r>
    </w:p>
    <w:p>
      <w:pPr>
        <w:pStyle w:val="ListParagraph"/>
        <w:numPr>
          <w:ilvl w:val="0"/>
          <w:numId w:val="2"/>
        </w:numPr>
        <w:suppressAutoHyphens w:val="true"/>
        <w:spacing w:lineRule="auto" w:line="240" w:before="0" w:after="60"/>
        <w:ind w:left="714" w:hanging="357"/>
        <w:contextualSpacing w:val="false"/>
        <w:rPr>
          <w:rFonts w:ascii="Myriad Pro" w:hAnsi="Myriad Pro" w:asciiTheme="minorHAnsi" w:hAnsiTheme="minorHAnsi"/>
        </w:rPr>
      </w:pPr>
      <w:r>
        <w:rPr>
          <w:rFonts w:asciiTheme="minorHAnsi" w:hAnsiTheme="minorHAnsi"/>
          <w:highlight w:val="yellow"/>
        </w:rPr>
        <w:t>System</w:t>
      </w:r>
      <w:r>
        <w:rPr>
          <w:rFonts w:asciiTheme="minorHAnsi" w:hAnsiTheme="minorHAnsi"/>
        </w:rPr>
        <w:t>–Audit</w:t>
      </w:r>
    </w:p>
    <w:p>
      <w:pPr>
        <w:pStyle w:val="ListParagraph"/>
        <w:numPr>
          <w:ilvl w:val="0"/>
          <w:numId w:val="2"/>
        </w:numPr>
        <w:suppressAutoHyphens w:val="true"/>
        <w:spacing w:lineRule="auto" w:line="240" w:before="0" w:after="200"/>
        <w:ind w:left="714" w:hanging="357"/>
        <w:contextualSpacing w:val="false"/>
        <w:rPr>
          <w:rFonts w:ascii="Myriad Pro" w:hAnsi="Myriad Pro" w:asciiTheme="minorHAnsi" w:hAnsiTheme="minorHAnsi"/>
        </w:rPr>
      </w:pPr>
      <w:r>
        <w:rPr>
          <w:rFonts w:asciiTheme="minorHAnsi" w:hAnsiTheme="minorHAnsi"/>
        </w:rPr>
        <w:t>Produkt–Audit</w:t>
      </w:r>
    </w:p>
    <w:p>
      <w:pPr>
        <w:pStyle w:val="Kopfzeile"/>
        <w:tabs>
          <w:tab w:val="clear" w:pos="4536"/>
          <w:tab w:val="clear" w:pos="9072"/>
          <w:tab w:val="left" w:pos="360" w:leader="none"/>
        </w:tabs>
        <w:spacing w:lineRule="auto" w:line="276"/>
        <w:rPr/>
      </w:pPr>
      <w:r>
        <w:rPr/>
        <w:t>Die Audits werden im Unternehmen als planmäßige und außerplanmäßige Audits durchgeführt.</w:t>
      </w:r>
    </w:p>
    <w:p>
      <w:pPr>
        <w:pStyle w:val="BodyTextIndent2"/>
        <w:spacing w:lineRule="auto" w:line="276" w:before="0" w:after="240"/>
        <w:ind w:left="0" w:hanging="0"/>
        <w:rPr>
          <w:rFonts w:ascii="Myriad Pro" w:hAnsi="Myriad Pro" w:asciiTheme="minorHAnsi" w:hAnsiTheme="minorHAnsi"/>
          <w:sz w:val="22"/>
          <w:szCs w:val="22"/>
        </w:rPr>
      </w:pPr>
      <w:r>
        <w:rPr>
          <w:rFonts w:ascii="Myriad Pro" w:hAnsi="Myriad Pro" w:asciiTheme="minorHAnsi" w:hAnsiTheme="minorHAnsi"/>
          <w:sz w:val="22"/>
          <w:szCs w:val="22"/>
        </w:rPr>
        <w:t xml:space="preserve">Planmäßige Audits erfolgen entsprechend Auditplan (Formblatt 4.2-03). </w:t>
      </w:r>
    </w:p>
    <w:p>
      <w:pPr>
        <w:pStyle w:val="Normal"/>
        <w:ind w:left="426" w:hanging="426"/>
        <w:rPr/>
      </w:pPr>
      <w:r>
        <w:rPr/>
        <w:t>Außerplanmäßige Audits werden durchgeführt, wenn:</w:t>
      </w:r>
    </w:p>
    <w:p>
      <w:pPr>
        <w:pStyle w:val="ListParagraph"/>
        <w:numPr>
          <w:ilvl w:val="0"/>
          <w:numId w:val="2"/>
        </w:numPr>
        <w:suppressAutoHyphens w:val="true"/>
        <w:spacing w:lineRule="auto" w:line="240" w:before="0" w:after="60"/>
        <w:ind w:left="714" w:hanging="357"/>
        <w:contextualSpacing w:val="false"/>
        <w:rPr>
          <w:rFonts w:ascii="Myriad Pro" w:hAnsi="Myriad Pro" w:asciiTheme="minorHAnsi" w:hAnsiTheme="minorHAnsi"/>
        </w:rPr>
      </w:pPr>
      <w:r>
        <w:rPr>
          <w:rFonts w:asciiTheme="minorHAnsi" w:hAnsiTheme="minorHAnsi"/>
        </w:rPr>
        <w:t>wesentliche Änderungen in der Aufbau- und Ablauforganisation des Unternehmens vorgenommen wurden oder,</w:t>
      </w:r>
    </w:p>
    <w:p>
      <w:pPr>
        <w:pStyle w:val="BodyTextIndent3"/>
        <w:numPr>
          <w:ilvl w:val="0"/>
          <w:numId w:val="3"/>
        </w:numPr>
        <w:spacing w:before="0" w:after="240"/>
        <w:rPr>
          <w:rFonts w:ascii="Myriad Pro" w:hAnsi="Myriad Pro" w:asciiTheme="minorHAnsi" w:hAnsiTheme="minorHAnsi"/>
          <w:sz w:val="22"/>
          <w:szCs w:val="22"/>
        </w:rPr>
      </w:pPr>
      <w:r>
        <w:rPr>
          <w:rFonts w:ascii="Myriad Pro" w:hAnsi="Myriad Pro" w:asciiTheme="minorHAnsi" w:hAnsiTheme="minorHAnsi"/>
          <w:sz w:val="22"/>
          <w:szCs w:val="22"/>
        </w:rPr>
        <w:t>in einzelnen Bereichen die Qualitätsforderungen nicht erfüllt werden.</w:t>
      </w:r>
    </w:p>
    <w:p>
      <w:pPr>
        <w:pStyle w:val="Normal"/>
        <w:rPr/>
      </w:pPr>
      <w:r>
        <w:rPr/>
        <w:t xml:space="preserve">Die Prozessaudits dienen dem Nachweis, ob das bestehende Qualitätsmanagementsystem </w:t>
      </w:r>
    </w:p>
    <w:p>
      <w:pPr>
        <w:pStyle w:val="ListParagraph"/>
        <w:numPr>
          <w:ilvl w:val="0"/>
          <w:numId w:val="2"/>
        </w:numPr>
        <w:suppressAutoHyphens w:val="true"/>
        <w:spacing w:lineRule="auto" w:line="240" w:before="0" w:after="60"/>
        <w:ind w:left="714" w:hanging="357"/>
        <w:contextualSpacing w:val="false"/>
        <w:rPr>
          <w:rFonts w:ascii="Myriad Pro" w:hAnsi="Myriad Pro" w:asciiTheme="minorHAnsi" w:hAnsiTheme="minorHAnsi"/>
        </w:rPr>
      </w:pPr>
      <w:r>
        <w:rPr>
          <w:rFonts w:asciiTheme="minorHAnsi" w:hAnsiTheme="minorHAnsi"/>
        </w:rPr>
        <w:t>geplante Regelungen der Produktrealisierung,</w:t>
      </w:r>
    </w:p>
    <w:p>
      <w:pPr>
        <w:pStyle w:val="ListParagraph"/>
        <w:numPr>
          <w:ilvl w:val="0"/>
          <w:numId w:val="2"/>
        </w:numPr>
        <w:suppressAutoHyphens w:val="true"/>
        <w:spacing w:lineRule="auto" w:line="240" w:before="0" w:after="60"/>
        <w:ind w:left="714" w:hanging="357"/>
        <w:contextualSpacing w:val="false"/>
        <w:rPr>
          <w:rFonts w:ascii="Myriad Pro" w:hAnsi="Myriad Pro" w:asciiTheme="minorHAnsi" w:hAnsiTheme="minorHAnsi"/>
        </w:rPr>
      </w:pPr>
      <w:r>
        <w:rPr>
          <w:rFonts w:asciiTheme="minorHAnsi" w:hAnsiTheme="minorHAnsi"/>
        </w:rPr>
        <w:t>die Anforderungen der ISO 9001:2015,</w:t>
      </w:r>
    </w:p>
    <w:p>
      <w:pPr>
        <w:pStyle w:val="ListParagraph"/>
        <w:numPr>
          <w:ilvl w:val="0"/>
          <w:numId w:val="2"/>
        </w:numPr>
        <w:suppressAutoHyphens w:val="true"/>
        <w:spacing w:lineRule="auto" w:line="240" w:before="0" w:after="60"/>
        <w:ind w:left="714" w:hanging="357"/>
        <w:contextualSpacing w:val="false"/>
        <w:rPr>
          <w:rFonts w:ascii="Myriad Pro" w:hAnsi="Myriad Pro" w:asciiTheme="minorHAnsi" w:hAnsiTheme="minorHAnsi"/>
        </w:rPr>
      </w:pPr>
      <w:r>
        <w:rPr>
          <w:rFonts w:asciiTheme="minorHAnsi" w:hAnsiTheme="minorHAnsi"/>
        </w:rPr>
        <w:t xml:space="preserve">die Anforderungen der </w:t>
      </w:r>
      <w:r>
        <w:rPr>
          <w:rFonts w:asciiTheme="minorHAnsi" w:hAnsiTheme="minorHAnsi"/>
        </w:rPr>
        <w:t>Durchführungsv</w:t>
      </w:r>
      <w:r>
        <w:rPr>
          <w:rFonts w:asciiTheme="minorHAnsi" w:hAnsiTheme="minorHAnsi"/>
        </w:rPr>
        <w:t xml:space="preserve">erordnung (EU) </w:t>
      </w:r>
      <w:r>
        <w:rPr>
          <w:rFonts w:asciiTheme="minorHAnsi" w:hAnsiTheme="minorHAnsi"/>
        </w:rPr>
        <w:t>2019</w:t>
      </w:r>
      <w:r>
        <w:rPr>
          <w:rFonts w:asciiTheme="minorHAnsi" w:hAnsiTheme="minorHAnsi"/>
        </w:rPr>
        <w:t>/</w:t>
      </w:r>
      <w:r>
        <w:rPr>
          <w:rFonts w:asciiTheme="minorHAnsi" w:hAnsiTheme="minorHAnsi"/>
        </w:rPr>
        <w:t>779</w:t>
      </w:r>
      <w:r>
        <w:rPr>
          <w:rFonts w:asciiTheme="minorHAnsi" w:hAnsiTheme="minorHAnsi"/>
        </w:rPr>
        <w:t xml:space="preserve"> und</w:t>
      </w:r>
    </w:p>
    <w:p>
      <w:pPr>
        <w:pStyle w:val="ListParagraph"/>
        <w:numPr>
          <w:ilvl w:val="0"/>
          <w:numId w:val="2"/>
        </w:numPr>
        <w:suppressAutoHyphens w:val="true"/>
        <w:spacing w:lineRule="auto" w:line="240" w:before="0" w:after="60"/>
        <w:ind w:left="714" w:hanging="357"/>
        <w:contextualSpacing w:val="false"/>
        <w:rPr>
          <w:rFonts w:ascii="Myriad Pro" w:hAnsi="Myriad Pro" w:asciiTheme="minorHAnsi" w:hAnsiTheme="minorHAnsi"/>
        </w:rPr>
      </w:pPr>
      <w:r>
        <w:rPr>
          <w:rFonts w:asciiTheme="minorHAnsi" w:hAnsiTheme="minorHAnsi"/>
        </w:rPr>
        <w:t>den von unserem Unternehmen festgelegten Anforderungen an das QMS erfüllt</w:t>
      </w:r>
    </w:p>
    <w:p>
      <w:pPr>
        <w:pStyle w:val="Normal"/>
        <w:spacing w:lineRule="auto" w:line="240" w:before="120" w:after="120"/>
        <w:ind w:firstLine="357"/>
        <w:rPr/>
      </w:pPr>
      <w:r>
        <w:rPr/>
        <w:t>sowie</w:t>
      </w:r>
    </w:p>
    <w:p>
      <w:pPr>
        <w:pStyle w:val="ListParagraph"/>
        <w:numPr>
          <w:ilvl w:val="0"/>
          <w:numId w:val="2"/>
        </w:numPr>
        <w:suppressAutoHyphens w:val="true"/>
        <w:spacing w:lineRule="auto" w:line="240" w:before="0" w:after="60"/>
        <w:ind w:left="714" w:hanging="357"/>
        <w:contextualSpacing w:val="false"/>
        <w:rPr>
          <w:rFonts w:ascii="Myriad Pro" w:hAnsi="Myriad Pro" w:asciiTheme="minorHAnsi" w:hAnsiTheme="minorHAnsi"/>
        </w:rPr>
      </w:pPr>
      <w:r>
        <w:rPr>
          <w:rFonts w:asciiTheme="minorHAnsi" w:hAnsiTheme="minorHAnsi"/>
        </w:rPr>
        <w:t>wirksam verwirklicht und aufrechterhalten wird.</w:t>
      </w:r>
    </w:p>
    <w:p>
      <w:pPr>
        <w:pStyle w:val="Normal"/>
        <w:jc w:val="left"/>
        <w:rPr/>
      </w:pPr>
      <w:r>
        <w:rPr/>
      </w:r>
      <w:r>
        <w:br w:type="page"/>
      </w:r>
    </w:p>
    <w:p>
      <w:pPr>
        <w:pStyle w:val="Normal"/>
        <w:rPr/>
      </w:pPr>
      <w:r>
        <w:rPr/>
        <w:t xml:space="preserve">Im Rahmen der </w:t>
      </w:r>
      <w:r>
        <w:rPr>
          <w:highlight w:val="yellow"/>
        </w:rPr>
        <w:t>System</w:t>
      </w:r>
      <w:r>
        <w:rPr/>
        <w:t>audits sind folgende Schwerpunkte zu beurteilen:</w:t>
      </w:r>
    </w:p>
    <w:p>
      <w:pPr>
        <w:pStyle w:val="Normal"/>
        <w:numPr>
          <w:ilvl w:val="0"/>
          <w:numId w:val="4"/>
        </w:numPr>
        <w:spacing w:before="0" w:after="0"/>
        <w:rPr/>
      </w:pPr>
      <w:r>
        <w:rPr/>
        <w:t>Umsetzung festgelegter Organisationsstrukturen</w:t>
      </w:r>
    </w:p>
    <w:p>
      <w:pPr>
        <w:pStyle w:val="Normal"/>
        <w:numPr>
          <w:ilvl w:val="0"/>
          <w:numId w:val="4"/>
        </w:numPr>
        <w:tabs>
          <w:tab w:val="clear" w:pos="708"/>
          <w:tab w:val="left" w:pos="1080" w:leader="none"/>
        </w:tabs>
        <w:spacing w:before="0" w:after="0"/>
        <w:rPr/>
      </w:pPr>
      <w:r>
        <w:rPr/>
        <w:t>Aktualität der Dokumentation</w:t>
      </w:r>
    </w:p>
    <w:p>
      <w:pPr>
        <w:pStyle w:val="Normal"/>
        <w:numPr>
          <w:ilvl w:val="0"/>
          <w:numId w:val="4"/>
        </w:numPr>
        <w:tabs>
          <w:tab w:val="clear" w:pos="708"/>
          <w:tab w:val="left" w:pos="1080" w:leader="none"/>
        </w:tabs>
        <w:spacing w:before="0" w:after="0"/>
        <w:rPr/>
      </w:pPr>
      <w:r>
        <w:rPr/>
        <w:t>Umsetzung festgelegter Verfahren (Prozessabgleich mit SOLL–Prozessen)</w:t>
      </w:r>
    </w:p>
    <w:p>
      <w:pPr>
        <w:pStyle w:val="Normal"/>
        <w:numPr>
          <w:ilvl w:val="0"/>
          <w:numId w:val="4"/>
        </w:numPr>
        <w:tabs>
          <w:tab w:val="clear" w:pos="708"/>
          <w:tab w:val="left" w:pos="1080" w:leader="none"/>
        </w:tabs>
        <w:spacing w:before="0" w:after="0"/>
        <w:rPr/>
      </w:pPr>
      <w:r>
        <w:rPr/>
        <w:t>Einhaltung bestehender Arbeits- und Betriebsanweisungen</w:t>
      </w:r>
    </w:p>
    <w:p>
      <w:pPr>
        <w:pStyle w:val="Normal"/>
        <w:numPr>
          <w:ilvl w:val="0"/>
          <w:numId w:val="4"/>
        </w:numPr>
        <w:tabs>
          <w:tab w:val="clear" w:pos="708"/>
          <w:tab w:val="left" w:pos="1080" w:leader="none"/>
        </w:tabs>
        <w:spacing w:before="0" w:after="0"/>
        <w:rPr/>
      </w:pPr>
      <w:r>
        <w:rPr/>
        <w:t>Kenntnis über Kundenanforderungen</w:t>
      </w:r>
    </w:p>
    <w:p>
      <w:pPr>
        <w:pStyle w:val="Normal"/>
        <w:numPr>
          <w:ilvl w:val="0"/>
          <w:numId w:val="4"/>
        </w:numPr>
        <w:tabs>
          <w:tab w:val="clear" w:pos="708"/>
          <w:tab w:val="left" w:pos="1080" w:leader="none"/>
        </w:tabs>
        <w:spacing w:before="0" w:after="0"/>
        <w:rPr/>
      </w:pPr>
      <w:r>
        <w:rPr/>
        <w:t>Einsatz von Ressourcen (personell und materiell)</w:t>
      </w:r>
    </w:p>
    <w:p>
      <w:pPr>
        <w:pStyle w:val="Normal"/>
        <w:numPr>
          <w:ilvl w:val="0"/>
          <w:numId w:val="4"/>
        </w:numPr>
        <w:tabs>
          <w:tab w:val="clear" w:pos="708"/>
          <w:tab w:val="left" w:pos="1080" w:leader="none"/>
        </w:tabs>
        <w:spacing w:before="0" w:after="0"/>
        <w:rPr/>
      </w:pPr>
      <w:r>
        <w:rPr/>
        <w:t>Zustand von Betriebsmitteln</w:t>
      </w:r>
    </w:p>
    <w:p>
      <w:pPr>
        <w:pStyle w:val="Normal"/>
        <w:numPr>
          <w:ilvl w:val="0"/>
          <w:numId w:val="4"/>
        </w:numPr>
        <w:tabs>
          <w:tab w:val="clear" w:pos="708"/>
          <w:tab w:val="left" w:pos="1080" w:leader="none"/>
        </w:tabs>
        <w:spacing w:before="0" w:after="0"/>
        <w:rPr/>
      </w:pPr>
      <w:r>
        <w:rPr/>
        <w:t>Gestaltung der Arbeitsumgebung und Arbeitssicherheit</w:t>
      </w:r>
    </w:p>
    <w:p>
      <w:pPr>
        <w:pStyle w:val="Normal"/>
        <w:numPr>
          <w:ilvl w:val="0"/>
          <w:numId w:val="4"/>
        </w:numPr>
        <w:tabs>
          <w:tab w:val="clear" w:pos="708"/>
          <w:tab w:val="left" w:pos="1080" w:leader="none"/>
        </w:tabs>
        <w:spacing w:before="0" w:after="0"/>
        <w:rPr/>
      </w:pPr>
      <w:r>
        <w:rPr/>
        <w:t>Analyse der Schadenentwicklung</w:t>
      </w:r>
    </w:p>
    <w:p>
      <w:pPr>
        <w:pStyle w:val="Normal"/>
        <w:numPr>
          <w:ilvl w:val="0"/>
          <w:numId w:val="4"/>
        </w:numPr>
        <w:tabs>
          <w:tab w:val="clear" w:pos="708"/>
          <w:tab w:val="left" w:pos="1080" w:leader="none"/>
        </w:tabs>
        <w:spacing w:before="0" w:after="0"/>
        <w:rPr/>
      </w:pPr>
      <w:r>
        <w:rPr/>
        <w:t>Umsetzung von Korrektur und Vorbeugungsmaßnahmen (KVP)</w:t>
      </w:r>
    </w:p>
    <w:p>
      <w:pPr>
        <w:pStyle w:val="Normal"/>
        <w:numPr>
          <w:ilvl w:val="0"/>
          <w:numId w:val="4"/>
        </w:numPr>
        <w:tabs>
          <w:tab w:val="clear" w:pos="708"/>
          <w:tab w:val="left" w:pos="1080" w:leader="none"/>
        </w:tabs>
        <w:rPr/>
      </w:pPr>
      <w:r>
        <w:rPr/>
        <w:t>Einhaltung gesetzlicher Vorgaben</w:t>
      </w:r>
    </w:p>
    <w:p>
      <w:pPr>
        <w:pStyle w:val="Berschrift3"/>
        <w:spacing w:before="120" w:after="120"/>
        <w:rPr>
          <w:lang w:eastAsia="de-DE"/>
        </w:rPr>
      </w:pPr>
      <w:bookmarkStart w:id="22" w:name="_Toc446344714"/>
      <w:r>
        <w:rPr>
          <w:lang w:eastAsia="de-DE"/>
        </w:rPr>
        <w:t>4.1.2</w:t>
        <w:tab/>
        <w:t>Audits bei Unterauftragnehmern</w:t>
      </w:r>
      <w:bookmarkEnd w:id="22"/>
    </w:p>
    <w:p>
      <w:pPr>
        <w:pStyle w:val="Normal"/>
        <w:tabs>
          <w:tab w:val="clear" w:pos="708"/>
          <w:tab w:val="left" w:pos="567" w:leader="none"/>
        </w:tabs>
        <w:rPr>
          <w:rFonts w:cs="Arial"/>
          <w:color w:val="000000"/>
        </w:rPr>
      </w:pPr>
      <w:r>
        <w:rPr>
          <w:rFonts w:cs="Arial"/>
          <w:color w:val="000000"/>
        </w:rPr>
        <w:t xml:space="preserve">Wird durch die ECM entschieden, eine oder mehrere der in der </w:t>
      </w:r>
      <w:r>
        <w:rPr>
          <w:rFonts w:cs="Arial"/>
          <w:color w:val="000000"/>
        </w:rPr>
        <w:t>Durchführungsv</w:t>
      </w:r>
      <w:r>
        <w:rPr>
          <w:rFonts w:cs="Arial"/>
          <w:color w:val="000000"/>
        </w:rPr>
        <w:t xml:space="preserve">erordnung (EU) </w:t>
      </w:r>
      <w:r>
        <w:rPr>
          <w:rFonts w:cs="Arial"/>
          <w:color w:val="000000"/>
        </w:rPr>
        <w:t>2019</w:t>
      </w:r>
      <w:r>
        <w:rPr>
          <w:rFonts w:cs="Arial"/>
          <w:color w:val="000000"/>
        </w:rPr>
        <w:t>/</w:t>
      </w:r>
      <w:r>
        <w:rPr>
          <w:rFonts w:cs="Arial"/>
          <w:color w:val="000000"/>
        </w:rPr>
        <w:t>779</w:t>
      </w:r>
      <w:r>
        <w:rPr>
          <w:rFonts w:cs="Arial"/>
          <w:color w:val="000000"/>
        </w:rPr>
        <w:t xml:space="preserve"> </w:t>
      </w:r>
      <w:r>
        <w:rPr>
          <w:rFonts w:cs="Arial"/>
          <w:color w:val="000000"/>
        </w:rPr>
        <w:t>Anhang II</w:t>
      </w:r>
      <w:r>
        <w:rPr>
          <w:rFonts w:cs="Arial"/>
          <w:color w:val="000000"/>
        </w:rPr>
        <w:t xml:space="preserve"> genannten Funktionen oder Teile davon zu vergeben, so begründet die freiwillige Zertifizierung des Unterauftragnehmers nach dem Zertifizierungssystem der genannten Verordnung die Vermutung der Konformität der für die Instandhaltung zuständigen Stelle mit den einschlägigen Anforderungen von Anhang III der genannten Verordnung, insoweit diese Anforderungen durch die freiwillige Zertifizierung des Unterauftragnehmers abgedeckt sind. </w:t>
      </w:r>
    </w:p>
    <w:p>
      <w:pPr>
        <w:pStyle w:val="Normal"/>
        <w:tabs>
          <w:tab w:val="clear" w:pos="708"/>
          <w:tab w:val="left" w:pos="567" w:leader="none"/>
        </w:tabs>
        <w:spacing w:before="0" w:after="120"/>
        <w:rPr>
          <w:rFonts w:cs="Arial"/>
          <w:color w:val="000000"/>
        </w:rPr>
      </w:pPr>
      <w:r>
        <w:rPr>
          <w:rFonts w:cs="Arial"/>
          <w:color w:val="000000"/>
        </w:rPr>
        <w:t xml:space="preserve">Fehlt eine solche freiwillige Zertifizierung führt </w:t>
      </w:r>
      <w:r>
        <w:rPr>
          <w:rFonts w:cs="Arial"/>
          <w:i/>
          <w:color w:val="000000"/>
        </w:rPr>
        <w:t>waggon24</w:t>
      </w:r>
      <w:r>
        <w:rPr>
          <w:rFonts w:cs="Arial"/>
          <w:color w:val="000000"/>
        </w:rPr>
        <w:t xml:space="preserve"> GmbH die Bewertung externer Anbieter durch Lieferantenaudits nach </w:t>
      </w:r>
      <w:r>
        <w:rPr>
          <w:rFonts w:cs="Arial"/>
          <w:color w:val="000000"/>
        </w:rPr>
        <w:t>Durchführungsv</w:t>
      </w:r>
      <w:r>
        <w:rPr>
          <w:rFonts w:cs="Arial"/>
          <w:color w:val="000000"/>
        </w:rPr>
        <w:t xml:space="preserve">erordnung (EU) </w:t>
      </w:r>
      <w:r>
        <w:rPr>
          <w:rFonts w:cs="Arial"/>
          <w:color w:val="000000"/>
        </w:rPr>
        <w:t>2019/779</w:t>
      </w:r>
      <w:r>
        <w:rPr>
          <w:rFonts w:cs="Arial"/>
          <w:color w:val="000000"/>
        </w:rPr>
        <w:t xml:space="preserve"> durch.</w:t>
      </w:r>
    </w:p>
    <w:p>
      <w:pPr>
        <w:pStyle w:val="Normal"/>
        <w:tabs>
          <w:tab w:val="clear" w:pos="708"/>
          <w:tab w:val="left" w:pos="567" w:leader="none"/>
        </w:tabs>
        <w:rPr>
          <w:rFonts w:cs="Arial"/>
        </w:rPr>
      </w:pPr>
      <w:r>
        <w:rPr>
          <w:rFonts w:cs="Arial"/>
          <w:highlight w:val="yellow"/>
        </w:rPr>
        <w:t xml:space="preserve">Die Entscheidung zur Erteilung der Untervergabe ist abhängig vom Ergebnis der Bewertung. Sollten im Ergebnis des Audits zur Erteilung der Untervergabe Korrekturmaßnahmen erforderlich sein, sind vor Erteilung der Bescheinigung </w:t>
      </w:r>
      <w:r>
        <w:rPr>
          <w:highlight w:val="yellow"/>
        </w:rPr>
        <w:t>die Korrekturen / Nachweise lt. Maßnahmenliste durch den auditierten Bereich beizubringen.</w:t>
      </w:r>
    </w:p>
    <w:p>
      <w:pPr>
        <w:pStyle w:val="Normal"/>
        <w:tabs>
          <w:tab w:val="clear" w:pos="708"/>
          <w:tab w:val="left" w:pos="567" w:leader="none"/>
        </w:tabs>
        <w:rPr>
          <w:rFonts w:cs="Arial"/>
        </w:rPr>
      </w:pPr>
      <w:r>
        <w:rPr>
          <w:rFonts w:cs="Arial"/>
        </w:rPr>
      </w:r>
    </w:p>
    <w:p>
      <w:pPr>
        <w:pStyle w:val="Normal"/>
        <w:tabs>
          <w:tab w:val="clear" w:pos="708"/>
          <w:tab w:val="left" w:pos="567" w:leader="none"/>
        </w:tabs>
        <w:rPr>
          <w:rFonts w:cs="Arial"/>
          <w:color w:val="000000"/>
        </w:rPr>
      </w:pPr>
      <w:r>
        <w:rPr>
          <w:rFonts w:cs="Arial"/>
        </w:rPr>
        <w:t xml:space="preserve">Die Ergebnisse der Bewertung bzw. die Existenz </w:t>
      </w:r>
      <w:r>
        <w:rPr>
          <w:rFonts w:cs="Arial"/>
          <w:color w:val="000000"/>
        </w:rPr>
        <w:t xml:space="preserve">von erteilten Zertifikaten wie z.B. Bescheinigungen für Instandhaltungsfunktionen nach </w:t>
      </w:r>
      <w:r>
        <w:rPr>
          <w:rFonts w:cs="Arial"/>
          <w:color w:val="000000"/>
        </w:rPr>
        <w:t>Durchführungsv</w:t>
      </w:r>
      <w:r>
        <w:rPr>
          <w:rFonts w:cs="Arial"/>
          <w:color w:val="000000"/>
        </w:rPr>
        <w:t xml:space="preserve">erordnung (EU) </w:t>
      </w:r>
      <w:r>
        <w:rPr>
          <w:rFonts w:cs="Arial"/>
          <w:color w:val="000000"/>
        </w:rPr>
        <w:t>2019/779</w:t>
      </w:r>
      <w:r>
        <w:rPr>
          <w:rFonts w:cs="Arial"/>
          <w:color w:val="000000"/>
        </w:rPr>
        <w:t xml:space="preserve"> oder Ergebnisse der Technischen Beurteilung von Werkstätten durch die VPI sind Grundlage der Darlegung an die Zertifizierungsstelle, in welcher Weise die Anforderungen von Anhang II der </w:t>
      </w:r>
      <w:r>
        <w:rPr>
          <w:rFonts w:cs="Arial"/>
          <w:color w:val="000000"/>
        </w:rPr>
        <w:t>Durchführungsv</w:t>
      </w:r>
      <w:r>
        <w:rPr>
          <w:rFonts w:cs="Arial"/>
          <w:color w:val="000000"/>
        </w:rPr>
        <w:t xml:space="preserve">erordnung (EU) </w:t>
      </w:r>
      <w:r>
        <w:rPr>
          <w:rFonts w:cs="Arial"/>
          <w:color w:val="000000"/>
        </w:rPr>
        <w:t>2019/779</w:t>
      </w:r>
      <w:r>
        <w:rPr>
          <w:rFonts w:cs="Arial"/>
          <w:color w:val="000000"/>
        </w:rPr>
        <w:t xml:space="preserve"> hinsichtlich derjenigen Funktionen erfüllt werden, die untervergeben werden sollen.</w:t>
      </w:r>
    </w:p>
    <w:p>
      <w:pPr>
        <w:pStyle w:val="Normal"/>
        <w:tabs>
          <w:tab w:val="clear" w:pos="708"/>
          <w:tab w:val="left" w:pos="567" w:leader="none"/>
        </w:tabs>
        <w:rPr>
          <w:rFonts w:cs="Arial"/>
          <w:color w:val="000000"/>
        </w:rPr>
      </w:pPr>
      <w:r>
        <w:rPr>
          <w:rFonts w:cs="Arial"/>
          <w:color w:val="000000"/>
        </w:rPr>
      </w:r>
    </w:p>
    <w:p>
      <w:pPr>
        <w:pStyle w:val="Normal"/>
        <w:jc w:val="left"/>
        <w:rPr>
          <w:rFonts w:ascii="Myriad Pro" w:hAnsi="Myriad Pro" w:eastAsia="" w:cs="" w:asciiTheme="majorHAnsi" w:cstheme="majorBidi" w:eastAsiaTheme="majorEastAsia" w:hAnsiTheme="majorHAnsi"/>
          <w:b/>
          <w:b/>
          <w:bCs/>
          <w:color w:val="2F70BF"/>
          <w:sz w:val="26"/>
          <w:szCs w:val="26"/>
          <w:lang w:eastAsia="de-DE"/>
        </w:rPr>
      </w:pPr>
      <w:r>
        <w:rPr>
          <w:rFonts w:eastAsia="" w:cs="" w:cstheme="majorBidi" w:eastAsiaTheme="majorEastAsia"/>
          <w:b/>
          <w:bCs/>
          <w:color w:val="2F70BF"/>
          <w:sz w:val="26"/>
          <w:szCs w:val="26"/>
          <w:lang w:eastAsia="de-DE"/>
        </w:rPr>
      </w:r>
      <w:r>
        <w:br w:type="page"/>
      </w:r>
    </w:p>
    <w:p>
      <w:pPr>
        <w:pStyle w:val="Berschrift2"/>
        <w:rPr>
          <w:lang w:eastAsia="de-DE"/>
        </w:rPr>
      </w:pPr>
      <w:bookmarkStart w:id="23" w:name="_Toc446344715"/>
      <w:r>
        <w:rPr>
          <w:lang w:eastAsia="de-DE"/>
        </w:rPr>
        <w:t>4.2</w:t>
        <w:tab/>
        <w:t>Terminplan</w:t>
      </w:r>
      <w:bookmarkEnd w:id="23"/>
    </w:p>
    <w:p>
      <w:pPr>
        <w:pStyle w:val="Normal"/>
        <w:rPr/>
      </w:pPr>
      <w:r>
        <w:rPr/>
        <w:t>Der Auditplan wird jährlich im Voraus durch den QMB erstellt und von der Geschäftsführung bestätigt. Dem Auditplan sind zu entnehmen:</w:t>
      </w:r>
    </w:p>
    <w:p>
      <w:pPr>
        <w:pStyle w:val="Normal"/>
        <w:numPr>
          <w:ilvl w:val="0"/>
          <w:numId w:val="2"/>
        </w:numPr>
        <w:spacing w:before="0" w:after="0"/>
        <w:ind w:left="714" w:hanging="357"/>
        <w:rPr/>
      </w:pPr>
      <w:r>
        <w:rPr/>
        <w:t>Plandatum des Audits</w:t>
      </w:r>
    </w:p>
    <w:p>
      <w:pPr>
        <w:pStyle w:val="Normal"/>
        <w:numPr>
          <w:ilvl w:val="0"/>
          <w:numId w:val="2"/>
        </w:numPr>
        <w:spacing w:before="0" w:after="0"/>
        <w:ind w:left="714" w:hanging="357"/>
        <w:rPr/>
      </w:pPr>
      <w:r>
        <w:rPr/>
        <w:t>Art des Audits</w:t>
      </w:r>
    </w:p>
    <w:p>
      <w:pPr>
        <w:pStyle w:val="Normal"/>
        <w:numPr>
          <w:ilvl w:val="0"/>
          <w:numId w:val="2"/>
        </w:numPr>
        <w:spacing w:before="0" w:after="0"/>
        <w:ind w:left="714" w:hanging="357"/>
        <w:rPr/>
      </w:pPr>
      <w:r>
        <w:rPr/>
        <w:t>Prozesse und Bereiche, die zu untersuchen sind</w:t>
      </w:r>
    </w:p>
    <w:p>
      <w:pPr>
        <w:pStyle w:val="Normal"/>
        <w:numPr>
          <w:ilvl w:val="0"/>
          <w:numId w:val="2"/>
        </w:numPr>
        <w:spacing w:before="0" w:after="0"/>
        <w:ind w:left="714" w:hanging="357"/>
        <w:rPr/>
      </w:pPr>
      <w:r>
        <w:rPr/>
        <w:t>Auditschwerpunkte</w:t>
      </w:r>
    </w:p>
    <w:p>
      <w:pPr>
        <w:pStyle w:val="Normal"/>
        <w:numPr>
          <w:ilvl w:val="0"/>
          <w:numId w:val="2"/>
        </w:numPr>
        <w:ind w:left="714" w:hanging="357"/>
        <w:rPr/>
      </w:pPr>
      <w:r>
        <w:rPr/>
        <w:t>geplante Auditteilnehmer</w:t>
      </w:r>
    </w:p>
    <w:p>
      <w:pPr>
        <w:pStyle w:val="Normal"/>
        <w:rPr/>
      </w:pPr>
      <w:r>
        <w:rPr/>
        <w:t>Der zu überprüfende Bereich wird für geplante Audits durch den Auditleiter mindestens 2 Wochen vor dem Audit informiert, so dass das Audit vorbereitet werden kann.</w:t>
      </w:r>
    </w:p>
    <w:p>
      <w:pPr>
        <w:pStyle w:val="Berschrift2"/>
        <w:rPr>
          <w:lang w:eastAsia="de-DE"/>
        </w:rPr>
      </w:pPr>
      <w:bookmarkStart w:id="24" w:name="_Toc446344716"/>
      <w:r>
        <w:rPr>
          <w:lang w:eastAsia="de-DE"/>
        </w:rPr>
        <w:t>4.3</w:t>
        <w:tab/>
        <w:t>Qualifizierung und Einsatz der Auditoren</w:t>
      </w:r>
      <w:bookmarkEnd w:id="24"/>
    </w:p>
    <w:p>
      <w:pPr>
        <w:pStyle w:val="Normal"/>
        <w:rPr/>
      </w:pPr>
      <w:r>
        <w:rPr/>
        <w:t>Die Durchführung von Audits wird ausschließlich Mitarbeitern übertragen, die nicht persönlich die Verantwortung für die zu beurteilenden Aufgaben tragen. Auf diese Weise werden die Objektivität und Unparteilichkeit des Auditprozesses sichergestellt.</w:t>
      </w:r>
    </w:p>
    <w:p>
      <w:pPr>
        <w:pStyle w:val="Normal"/>
        <w:spacing w:before="0" w:after="0"/>
        <w:rPr/>
      </w:pPr>
      <w:r>
        <w:rPr/>
        <w:t xml:space="preserve">Auditoren werden abhängig von Auditart und Auditinhalt durch den Managementbeauftragten ausgewählt. Sie sind als Auditoren ausgebildet oder werden innerhalb des Unternehmens intern geschult. </w:t>
      </w:r>
    </w:p>
    <w:p>
      <w:pPr>
        <w:pStyle w:val="Normal"/>
        <w:rPr/>
      </w:pPr>
      <w:r>
        <w:rPr/>
        <w:t>Schwerpunkte der internen Schulung sind u.a.:</w:t>
      </w:r>
    </w:p>
    <w:p>
      <w:pPr>
        <w:pStyle w:val="ListParagraph"/>
        <w:numPr>
          <w:ilvl w:val="0"/>
          <w:numId w:val="8"/>
        </w:numPr>
        <w:spacing w:before="0" w:after="0"/>
        <w:contextualSpacing/>
        <w:rPr/>
      </w:pPr>
      <w:r>
        <w:rPr/>
        <w:t>Ziele der Auditdurchführung</w:t>
      </w:r>
    </w:p>
    <w:p>
      <w:pPr>
        <w:pStyle w:val="ListParagraph"/>
        <w:numPr>
          <w:ilvl w:val="0"/>
          <w:numId w:val="8"/>
        </w:numPr>
        <w:spacing w:before="0" w:after="0"/>
        <w:contextualSpacing/>
        <w:rPr/>
      </w:pPr>
      <w:r>
        <w:rPr/>
        <w:t>Auditarten</w:t>
      </w:r>
    </w:p>
    <w:p>
      <w:pPr>
        <w:pStyle w:val="ListParagraph"/>
        <w:numPr>
          <w:ilvl w:val="0"/>
          <w:numId w:val="8"/>
        </w:numPr>
        <w:spacing w:before="0" w:after="0"/>
        <w:contextualSpacing/>
        <w:rPr/>
      </w:pPr>
      <w:r>
        <w:rPr/>
        <w:t>Psychologische Aspekte eines Audits</w:t>
      </w:r>
    </w:p>
    <w:p>
      <w:pPr>
        <w:pStyle w:val="ListParagraph"/>
        <w:numPr>
          <w:ilvl w:val="0"/>
          <w:numId w:val="8"/>
        </w:numPr>
        <w:spacing w:before="0" w:after="0"/>
        <w:contextualSpacing/>
        <w:rPr/>
      </w:pPr>
      <w:r>
        <w:rPr/>
        <w:t>Auditablauf und Auditbewertung</w:t>
        <w:tab/>
      </w:r>
    </w:p>
    <w:p>
      <w:pPr>
        <w:pStyle w:val="ListParagraph"/>
        <w:numPr>
          <w:ilvl w:val="0"/>
          <w:numId w:val="8"/>
        </w:numPr>
        <w:rPr/>
      </w:pPr>
      <w:r>
        <w:rPr/>
        <w:t>Erstellung der Auditdokumentation</w:t>
      </w:r>
    </w:p>
    <w:p>
      <w:pPr>
        <w:pStyle w:val="Normal"/>
        <w:rPr/>
      </w:pPr>
      <w:r>
        <w:rPr/>
        <w:t>Im Rahmen der Durchführung von Audits steht Ihnen das uneingeschränkte Informationsrecht zu. Den Auditoren sind alle für das Audit erforderlichen Unterlagen zugänglich zu machen.</w:t>
      </w:r>
    </w:p>
    <w:p>
      <w:pPr>
        <w:pStyle w:val="Normal"/>
        <w:rPr/>
      </w:pPr>
      <w:r>
        <w:rPr/>
        <w:t>Auditoren, die die Bewertung von Unterauftragnehmern vornehmen bedürfen der ausreichenden Fachexpertise, um der Bewertungsaufgabe gerecht zu werden.</w:t>
      </w:r>
    </w:p>
    <w:p>
      <w:pPr>
        <w:pStyle w:val="Berschrift2"/>
        <w:rPr>
          <w:lang w:eastAsia="de-DE"/>
        </w:rPr>
      </w:pPr>
      <w:bookmarkStart w:id="25" w:name="_Toc446344717"/>
      <w:r>
        <w:rPr>
          <w:lang w:eastAsia="de-DE"/>
        </w:rPr>
        <w:t>4.4</w:t>
        <w:tab/>
        <w:t>Auditunterlagen</w:t>
      </w:r>
      <w:bookmarkEnd w:id="25"/>
    </w:p>
    <w:p>
      <w:pPr>
        <w:pStyle w:val="Normal"/>
        <w:rPr/>
      </w:pPr>
      <w:r>
        <w:rPr/>
        <w:t>Im Rahmen der Auditdurchführung werden insbesondere folgende Unterlagen benötigt:</w:t>
      </w:r>
    </w:p>
    <w:p>
      <w:pPr>
        <w:pStyle w:val="Normal"/>
        <w:numPr>
          <w:ilvl w:val="0"/>
          <w:numId w:val="5"/>
        </w:numPr>
        <w:spacing w:lineRule="auto" w:line="240" w:before="60" w:after="0"/>
        <w:ind w:left="714" w:hanging="357"/>
        <w:jc w:val="left"/>
        <w:rPr/>
      </w:pPr>
      <w:r>
        <w:rPr/>
        <w:t xml:space="preserve">Managementhandbuch / Verfahrensanweisungen /Arbeitsanweisungen / Technische Weisungen, Betriebsanweisungen, </w:t>
      </w:r>
      <w:r>
        <w:rPr>
          <w:highlight w:val="yellow"/>
        </w:rPr>
        <w:t>Prozessbeschreibungen</w:t>
      </w:r>
    </w:p>
    <w:p>
      <w:pPr>
        <w:pStyle w:val="Normal"/>
        <w:numPr>
          <w:ilvl w:val="0"/>
          <w:numId w:val="5"/>
        </w:numPr>
        <w:spacing w:lineRule="auto" w:line="240" w:before="60" w:after="0"/>
        <w:ind w:left="714" w:hanging="357"/>
        <w:jc w:val="left"/>
        <w:rPr/>
      </w:pPr>
      <w:r>
        <w:rPr/>
        <w:t>Externe Vorgabedokumente (Verordnungen, Normen, Richtlinien)</w:t>
      </w:r>
    </w:p>
    <w:p>
      <w:pPr>
        <w:pStyle w:val="Kopfzeile"/>
        <w:numPr>
          <w:ilvl w:val="0"/>
          <w:numId w:val="5"/>
        </w:numPr>
        <w:tabs>
          <w:tab w:val="clear" w:pos="4536"/>
          <w:tab w:val="clear" w:pos="9072"/>
        </w:tabs>
        <w:spacing w:before="60" w:after="0"/>
        <w:ind w:left="714" w:hanging="357"/>
        <w:jc w:val="left"/>
        <w:rPr/>
      </w:pPr>
      <w:r>
        <w:rPr/>
        <w:t>Auditberichte vorangegangener Audits, Prüfergebnisse, Prüfpläne</w:t>
      </w:r>
    </w:p>
    <w:p>
      <w:pPr>
        <w:pStyle w:val="Normal"/>
        <w:numPr>
          <w:ilvl w:val="0"/>
          <w:numId w:val="5"/>
        </w:numPr>
        <w:spacing w:lineRule="auto" w:line="240" w:before="60" w:after="0"/>
        <w:ind w:left="714" w:hanging="357"/>
        <w:jc w:val="left"/>
        <w:rPr/>
      </w:pPr>
      <w:r>
        <w:rPr/>
        <w:t>Stellenbeschreibungen</w:t>
      </w:r>
    </w:p>
    <w:p>
      <w:pPr>
        <w:pStyle w:val="Normal"/>
        <w:numPr>
          <w:ilvl w:val="0"/>
          <w:numId w:val="5"/>
        </w:numPr>
        <w:spacing w:lineRule="auto" w:line="240" w:before="60" w:after="0"/>
        <w:ind w:left="714" w:hanging="357"/>
        <w:jc w:val="left"/>
        <w:rPr/>
      </w:pPr>
      <w:r>
        <w:rPr/>
        <w:t>Auftragsunterlagen</w:t>
      </w:r>
    </w:p>
    <w:p>
      <w:pPr>
        <w:pStyle w:val="Normal"/>
        <w:numPr>
          <w:ilvl w:val="0"/>
          <w:numId w:val="5"/>
        </w:numPr>
        <w:spacing w:lineRule="auto" w:line="240" w:before="60" w:after="240"/>
        <w:ind w:left="714" w:hanging="357"/>
        <w:jc w:val="left"/>
        <w:rPr/>
      </w:pPr>
      <w:r>
        <w:rPr/>
        <w:t>Reklamationsunterlagen</w:t>
      </w:r>
    </w:p>
    <w:p>
      <w:pPr>
        <w:pStyle w:val="Normal"/>
        <w:rPr/>
      </w:pPr>
      <w:r>
        <w:rPr/>
        <w:t xml:space="preserve">Die inhaltliche Auditrealisierung orientiert sich an Festlegungen des unternehmensspezifischen Regelwerkes sowie externer Vorgaben z.B. Anforderungen entsprechen Anhang II der </w:t>
      </w:r>
      <w:r>
        <w:rPr/>
        <w:t>Durchführungsv</w:t>
      </w:r>
      <w:r>
        <w:rPr/>
        <w:t xml:space="preserve">erordnung (EU) </w:t>
      </w:r>
      <w:r>
        <w:rPr/>
        <w:t>2019/779</w:t>
      </w:r>
      <w:r>
        <w:rPr/>
        <w:t>.</w:t>
      </w:r>
    </w:p>
    <w:p>
      <w:pPr>
        <w:pStyle w:val="Normal"/>
        <w:rPr/>
      </w:pPr>
      <w:r>
        <w:rPr/>
        <w:t>Die für das Audit erforderlichen Unterlagen sind den Teilnehmern des Auditteams (sofern vorhanden) durch den Auditleiter rechtzeitig zur Verfügung zu stellen. Unklarheiten in den Unterlagen sind vor Beginn des Audits zu klären.</w:t>
      </w:r>
    </w:p>
    <w:p>
      <w:pPr>
        <w:pStyle w:val="Berschrift2"/>
        <w:rPr>
          <w:lang w:eastAsia="de-DE"/>
        </w:rPr>
      </w:pPr>
      <w:bookmarkStart w:id="26" w:name="_Toc446344718"/>
      <w:r>
        <w:rPr>
          <w:lang w:eastAsia="de-DE"/>
        </w:rPr>
        <w:t>4.5</w:t>
        <w:tab/>
        <w:t>Auditdurchführung</w:t>
      </w:r>
      <w:bookmarkEnd w:id="26"/>
    </w:p>
    <w:p>
      <w:pPr>
        <w:pStyle w:val="Normal"/>
        <w:rPr/>
      </w:pPr>
      <w:r>
        <w:rPr/>
        <w:t>Die Leitung der Auditdurchführung obliegt dem Auditleiter. Folgende vier wesentliche Schritte werden in jedem Audit umgesetzt:</w:t>
      </w:r>
    </w:p>
    <w:p>
      <w:pPr>
        <w:pStyle w:val="Normal"/>
        <w:numPr>
          <w:ilvl w:val="0"/>
          <w:numId w:val="6"/>
        </w:numPr>
        <w:spacing w:lineRule="auto" w:line="240" w:before="60" w:after="0"/>
        <w:ind w:left="714" w:hanging="357"/>
        <w:rPr/>
      </w:pPr>
      <w:r>
        <w:rPr/>
        <w:t>Zusammentragen von Informationen durch Befragung</w:t>
      </w:r>
    </w:p>
    <w:p>
      <w:pPr>
        <w:pStyle w:val="Normal"/>
        <w:numPr>
          <w:ilvl w:val="0"/>
          <w:numId w:val="6"/>
        </w:numPr>
        <w:spacing w:lineRule="auto" w:line="240" w:before="60" w:after="0"/>
        <w:ind w:left="714" w:hanging="357"/>
        <w:rPr/>
      </w:pPr>
      <w:r>
        <w:rPr/>
        <w:t>Bestätigung der Informationen durch objektive Nachweise</w:t>
      </w:r>
    </w:p>
    <w:p>
      <w:pPr>
        <w:pStyle w:val="Normal"/>
        <w:numPr>
          <w:ilvl w:val="0"/>
          <w:numId w:val="6"/>
        </w:numPr>
        <w:spacing w:lineRule="auto" w:line="240" w:before="60" w:after="0"/>
        <w:ind w:left="714" w:hanging="357"/>
        <w:rPr/>
      </w:pPr>
      <w:r>
        <w:rPr/>
        <w:t>Prüfung der Wirksamkeit von Korrekturmaßnahmen vorangegangener Audits</w:t>
      </w:r>
    </w:p>
    <w:p>
      <w:pPr>
        <w:pStyle w:val="Normal"/>
        <w:numPr>
          <w:ilvl w:val="0"/>
          <w:numId w:val="6"/>
        </w:numPr>
        <w:spacing w:lineRule="auto" w:line="240" w:before="0" w:after="240"/>
        <w:ind w:left="714" w:hanging="357"/>
        <w:rPr/>
      </w:pPr>
      <w:r>
        <w:rPr/>
        <w:t>Zusammenfassung der Ergebnisse des Audits</w:t>
      </w:r>
    </w:p>
    <w:p>
      <w:pPr>
        <w:pStyle w:val="Normal"/>
        <w:rPr/>
      </w:pPr>
      <w:r>
        <w:rPr/>
        <w:t>Durch den Auditleiter ist sicherzustellen, dass die vorgetragenen Abweichungen von den geprüften Personen anerkannt werden. Anderenfalls ist dies ausdrücklich im Auditbericht zu vermerken.</w:t>
      </w:r>
    </w:p>
    <w:p>
      <w:pPr>
        <w:pStyle w:val="Normal"/>
        <w:rPr/>
      </w:pPr>
      <w:r>
        <w:rPr/>
        <w:t xml:space="preserve">Audits bei Unterauftragnehmern zur Ermittlung der Fähigkeit zur Erfüllung zu vergebender Instandhaltungsfunktionen werden anhand der Gliederung des Anhangs III der </w:t>
      </w:r>
      <w:r>
        <w:rPr/>
        <w:t>Durchführungsv</w:t>
      </w:r>
      <w:r>
        <w:rPr/>
        <w:t xml:space="preserve">erordnung (EU) </w:t>
      </w:r>
      <w:r>
        <w:rPr/>
        <w:t>2019/779</w:t>
      </w:r>
      <w:r>
        <w:rPr/>
        <w:t xml:space="preserve"> durchgeführt. Zur Anwendung kommen die jeweiligen Anforderungen und Bewertungskriterien der jeweiligen Instandhaltungsfunktion.</w:t>
      </w:r>
    </w:p>
    <w:p>
      <w:pPr>
        <w:pStyle w:val="Berschrift2"/>
        <w:rPr>
          <w:lang w:eastAsia="de-DE"/>
        </w:rPr>
      </w:pPr>
      <w:bookmarkStart w:id="27" w:name="_Toc446344719"/>
      <w:r>
        <w:rPr>
          <w:lang w:eastAsia="de-DE"/>
        </w:rPr>
        <w:t>4.6</w:t>
        <w:tab/>
        <w:t>Auditbericht</w:t>
      </w:r>
      <w:bookmarkEnd w:id="27"/>
    </w:p>
    <w:p>
      <w:pPr>
        <w:pStyle w:val="Normal"/>
        <w:rPr/>
      </w:pPr>
      <w:r>
        <w:rPr>
          <w:highlight w:val="yellow"/>
        </w:rPr>
        <w:t>Zu jedem Audit wird ein Auditbericht (Formblatt 4-2_1) erstellt. Die Auditreferenz ist im Bericht anzugeben. Auftretende Nichtkonformitäten sind zu bewerten und zu dokumentieren. Hierfür kommt das Formblatt 4-4_1 zur Anwendung.</w:t>
      </w:r>
      <w:r>
        <w:rPr/>
        <w:t xml:space="preserve"> </w:t>
      </w:r>
    </w:p>
    <w:p>
      <w:pPr>
        <w:pStyle w:val="Normal"/>
        <w:ind w:left="993" w:hanging="993"/>
        <w:rPr/>
      </w:pPr>
      <w:r>
        <w:rPr>
          <w:b/>
        </w:rPr>
        <w:t>Hinweis:</w:t>
      </w:r>
      <w:r>
        <w:rPr/>
        <w:tab/>
        <w:t xml:space="preserve">Als Hilfe für den auditierten Bereich ist das Formblatt 4-4_1 </w:t>
      </w:r>
      <w:r>
        <w:rPr>
          <w:highlight w:val="yellow"/>
        </w:rPr>
        <w:t>auch</w:t>
      </w:r>
      <w:r>
        <w:rPr/>
        <w:t xml:space="preserve"> zu verwenden, </w:t>
      </w:r>
      <w:r>
        <w:rPr>
          <w:highlight w:val="yellow"/>
        </w:rPr>
        <w:t>um Verbesserungspotenziale aufzuzeigen</w:t>
      </w:r>
      <w:r>
        <w:rPr/>
        <w:t>. Im Auditbericht ist zu vermerken, ob das Formblatt 4-4_1 zur Anwendung kam.</w:t>
      </w:r>
    </w:p>
    <w:p>
      <w:pPr>
        <w:pStyle w:val="Normal"/>
        <w:rPr/>
      </w:pPr>
      <w:r>
        <w:rPr/>
        <w:t>Der Bericht ist unmittelbar nach dem Audit zu erstellen, vom Auditleiter und vom Leiter des auditierten Bereiches zu unterschreiben. Die Verteilung erfolgt entsprechend Verteilerschlüssel.</w:t>
      </w:r>
    </w:p>
    <w:p>
      <w:pPr>
        <w:pStyle w:val="Normal"/>
        <w:rPr/>
      </w:pPr>
      <w:r>
        <w:rPr>
          <w:highlight w:val="yellow"/>
        </w:rPr>
        <w:t>Der Auditleiter veranlasst im Fall des Auftretens von Abweichungen ein Nachaudit.</w:t>
      </w:r>
      <w:r>
        <w:rPr/>
        <w:t xml:space="preserve"> Der Vermerk hierüber erfolgt im Auditbericht. </w:t>
      </w:r>
    </w:p>
    <w:p>
      <w:pPr>
        <w:pStyle w:val="Normal"/>
        <w:rPr/>
      </w:pPr>
      <w:r>
        <w:rPr>
          <w:highlight w:val="yellow"/>
        </w:rPr>
        <w:t>Das Nachaudit kann als Remote-Audit oder durch Nachweis erforderlicher dokumentierter Informationen erfolgen.</w:t>
      </w:r>
    </w:p>
    <w:p>
      <w:pPr>
        <w:pStyle w:val="Normal"/>
        <w:jc w:val="left"/>
        <w:rPr/>
      </w:pPr>
      <w:r>
        <w:rPr/>
      </w:r>
      <w:r>
        <w:br w:type="page"/>
      </w:r>
    </w:p>
    <w:p>
      <w:pPr>
        <w:pStyle w:val="Normal"/>
        <w:rPr/>
      </w:pPr>
      <w:r>
        <w:rPr/>
        <w:t>Der Inhalt des Nachaudits, sofern es ausschließlich als Nachaudit erfolgt, sollte sich im Wesentlichen auf die Abweichungspunkte des vorangegangenen Audits beziehen, um ungerechtfertigten Auditaufwand zu vermeiden. In der Planung des Nachaudits ist die mögliche Teilnahme der Auditoren des vorangegangenen Audits zu berücksichtigen, um eine bessere Vergleichbarkeit der Auditergebnisse zu gewährleisten.</w:t>
      </w:r>
    </w:p>
    <w:p>
      <w:pPr>
        <w:pStyle w:val="Normal"/>
        <w:rPr/>
      </w:pPr>
      <w:r>
        <w:rPr/>
        <w:t xml:space="preserve">Für die Dokumentation der Bewertungen eines Unterauftragnehmeraudits findet das </w:t>
        <w:br/>
      </w:r>
      <w:r>
        <w:rPr>
          <w:highlight w:val="yellow"/>
        </w:rPr>
        <w:t>Formblatt 4-4_01</w:t>
      </w:r>
      <w:r>
        <w:rPr/>
        <w:t xml:space="preserve"> Anwendung. Bei erfolgreicher Auditierung wird dem auditierten Unternehmen eine entsprechende Untervergabe-Bescheinigung (</w:t>
      </w:r>
      <w:r>
        <w:rPr>
          <w:highlight w:val="yellow"/>
        </w:rPr>
        <w:t>Formblatt 4-2_03</w:t>
      </w:r>
      <w:r>
        <w:rPr/>
        <w:t>) ausgestellt.</w:t>
      </w:r>
    </w:p>
    <w:p>
      <w:pPr>
        <w:pStyle w:val="Berschrift2"/>
        <w:rPr>
          <w:lang w:eastAsia="de-DE"/>
        </w:rPr>
      </w:pPr>
      <w:bookmarkStart w:id="28" w:name="_Toc446344720"/>
      <w:r>
        <w:rPr>
          <w:lang w:eastAsia="de-DE"/>
        </w:rPr>
        <w:t>4.7</w:t>
        <w:tab/>
      </w:r>
      <w:r>
        <w:rPr>
          <w:highlight w:val="yellow"/>
          <w:lang w:eastAsia="de-DE"/>
        </w:rPr>
        <w:t>Sofort-</w:t>
      </w:r>
      <w:r>
        <w:rPr>
          <w:lang w:eastAsia="de-DE"/>
        </w:rPr>
        <w:t>, Korrektur- und Vorbeugungsmaßnahmen</w:t>
      </w:r>
      <w:bookmarkEnd w:id="28"/>
    </w:p>
    <w:p>
      <w:pPr>
        <w:pStyle w:val="Normal"/>
        <w:rPr/>
      </w:pPr>
      <w:r>
        <w:rPr/>
        <w:t xml:space="preserve">Entscheidend für die Wirksamkeit von Audits </w:t>
      </w:r>
      <w:r>
        <w:rPr>
          <w:highlight w:val="yellow"/>
        </w:rPr>
        <w:t>sind bei Feststellung von Nichtkonformitäten bzw. Verbesserungspotenzialen</w:t>
      </w:r>
      <w:r>
        <w:rPr/>
        <w:t xml:space="preserve"> die Festlegung und Durchführung von Korrektur- und Vorbeugungsmaßnahmen durch den Leiter des auditierten Bereiches. Er stellt sicher, dass jegliche Korrekturen und Korrekturmaßnahmen ohne ungerechtfertigte Verzögerung zur Beseitigung erkannter Fehler und ihrer Ursachen ergriffen werden. Bei Anwendung des Formblattes 4-4_01 ist das zugehörige Verfahren einzuhalten.</w:t>
      </w:r>
    </w:p>
    <w:p>
      <w:pPr>
        <w:pStyle w:val="Normal"/>
        <w:rPr/>
      </w:pPr>
      <w:r>
        <w:rPr>
          <w:highlight w:val="yellow"/>
        </w:rPr>
        <w:t>Im Bedarfsfall sind Sofortmaßnahmen einzuleiten, um weiteren Schaden zu vermeiden bzw. Schadenbegrenzung vorzunehmen</w:t>
      </w:r>
      <w:r>
        <w:rPr/>
        <w:t>.</w:t>
      </w:r>
    </w:p>
    <w:p>
      <w:pPr>
        <w:pStyle w:val="Berschrift1"/>
        <w:rPr/>
      </w:pPr>
      <w:bookmarkStart w:id="29" w:name="_Toc446344721"/>
      <w:bookmarkStart w:id="30" w:name="_Toc282157756"/>
      <w:bookmarkStart w:id="31" w:name="_Toc454093976"/>
      <w:r>
        <w:rPr/>
        <w:t>5. Mitgeltende Dokumente</w:t>
      </w:r>
      <w:bookmarkStart w:id="32" w:name="_GoBack"/>
      <w:bookmarkEnd w:id="29"/>
      <w:bookmarkEnd w:id="30"/>
      <w:bookmarkEnd w:id="31"/>
      <w:bookmarkEnd w:id="32"/>
    </w:p>
    <w:p>
      <w:pPr>
        <w:pStyle w:val="ListParagraph"/>
        <w:numPr>
          <w:ilvl w:val="0"/>
          <w:numId w:val="1"/>
        </w:numPr>
        <w:jc w:val="left"/>
        <w:rPr/>
      </w:pPr>
      <w:r>
        <w:rPr>
          <w:rFonts w:asciiTheme="minorHAnsi" w:hAnsiTheme="minorHAnsi"/>
        </w:rPr>
        <w:t>Durchführungsv</w:t>
      </w:r>
      <w:r>
        <w:rPr>
          <w:rFonts w:asciiTheme="minorHAnsi" w:hAnsiTheme="minorHAnsi"/>
        </w:rPr>
        <w:t xml:space="preserve">erordnung (EU) </w:t>
      </w:r>
      <w:r>
        <w:rPr>
          <w:rFonts w:asciiTheme="minorHAnsi" w:hAnsiTheme="minorHAnsi"/>
        </w:rPr>
        <w:t>2019</w:t>
      </w:r>
      <w:r>
        <w:rPr>
          <w:rFonts w:asciiTheme="minorHAnsi" w:hAnsiTheme="minorHAnsi"/>
        </w:rPr>
        <w:t>/</w:t>
      </w:r>
      <w:r>
        <w:rPr>
          <w:rFonts w:asciiTheme="minorHAnsi" w:hAnsiTheme="minorHAnsi"/>
        </w:rPr>
        <w:t>779</w:t>
      </w:r>
    </w:p>
    <w:p>
      <w:pPr>
        <w:pStyle w:val="ListParagraph"/>
        <w:numPr>
          <w:ilvl w:val="0"/>
          <w:numId w:val="1"/>
        </w:numPr>
        <w:jc w:val="left"/>
        <w:rPr/>
      </w:pPr>
      <w:r>
        <w:rPr>
          <w:rFonts w:asciiTheme="minorHAnsi" w:hAnsiTheme="minorHAnsi"/>
        </w:rPr>
        <w:t>FB 04-04_01 Maßnahmenliste</w:t>
      </w:r>
    </w:p>
    <w:p>
      <w:pPr>
        <w:pStyle w:val="Berschrift1"/>
        <w:rPr/>
      </w:pPr>
      <w:bookmarkStart w:id="33" w:name="_Toc282157757"/>
      <w:bookmarkStart w:id="34" w:name="_Toc454093977"/>
      <w:bookmarkStart w:id="35" w:name="_Toc446344722"/>
      <w:bookmarkEnd w:id="33"/>
      <w:bookmarkEnd w:id="34"/>
      <w:r>
        <w:rPr/>
        <w:t>6. Gültigkeit</w:t>
      </w:r>
      <w:bookmarkEnd w:id="35"/>
    </w:p>
    <w:p>
      <w:pPr>
        <w:pStyle w:val="Normal"/>
        <w:rPr>
          <w:highlight w:val="yellow"/>
        </w:rPr>
      </w:pPr>
      <w:r>
        <w:rPr>
          <w:highlight w:val="yellow"/>
        </w:rPr>
        <w:t>Diese Verfahrensanweisung tritt in Kraft am:</w:t>
        <w:tab/>
        <w:tab/>
      </w:r>
      <w:r>
        <w:rPr>
          <w:highlight w:val="yellow"/>
        </w:rPr>
        <w:t>18.04.2022</w:t>
      </w:r>
    </w:p>
    <w:p>
      <w:pPr>
        <w:pStyle w:val="Normal"/>
        <w:rPr/>
      </w:pPr>
      <w:r>
        <w:rPr>
          <w:highlight w:val="yellow"/>
        </w:rPr>
        <w:t>Diese Verfahrensanweisung setzt außer Kraft:</w:t>
        <w:tab/>
        <w:tab/>
        <w:t>VA 04-02 vom 09.04.2018</w:t>
      </w:r>
    </w:p>
    <w:p>
      <w:pPr>
        <w:pStyle w:val="Berschrift1"/>
        <w:rPr/>
      </w:pPr>
      <w:bookmarkStart w:id="36" w:name="_Toc282157757"/>
      <w:bookmarkStart w:id="37" w:name="_Toc454093977"/>
      <w:bookmarkStart w:id="38" w:name="_Toc446344723"/>
      <w:bookmarkEnd w:id="36"/>
      <w:bookmarkEnd w:id="37"/>
      <w:r>
        <w:rPr/>
        <w:t>7. Anlagen</w:t>
      </w:r>
      <w:bookmarkEnd w:id="38"/>
    </w:p>
    <w:p>
      <w:pPr>
        <w:pStyle w:val="Fuzeile"/>
        <w:numPr>
          <w:ilvl w:val="0"/>
          <w:numId w:val="7"/>
        </w:numPr>
        <w:tabs>
          <w:tab w:val="clear" w:pos="4536"/>
          <w:tab w:val="clear" w:pos="9072"/>
          <w:tab w:val="left" w:pos="1985" w:leader="none"/>
        </w:tabs>
        <w:rPr>
          <w:highlight w:val="yellow"/>
        </w:rPr>
      </w:pPr>
      <w:r>
        <w:rPr>
          <w:highlight w:val="yellow"/>
        </w:rPr>
        <w:t>A 4-2_01</w:t>
        <w:tab/>
        <w:t>Fragen- und Bewertungsliste ECM</w:t>
      </w:r>
    </w:p>
    <w:p>
      <w:pPr>
        <w:pStyle w:val="Fuzeile"/>
        <w:numPr>
          <w:ilvl w:val="0"/>
          <w:numId w:val="7"/>
        </w:numPr>
        <w:tabs>
          <w:tab w:val="clear" w:pos="4536"/>
          <w:tab w:val="clear" w:pos="9072"/>
          <w:tab w:val="left" w:pos="1985" w:leader="none"/>
        </w:tabs>
        <w:rPr>
          <w:highlight w:val="yellow"/>
        </w:rPr>
      </w:pPr>
      <w:r>
        <w:rPr>
          <w:highlight w:val="yellow"/>
        </w:rPr>
        <w:t>FB 4-2_01</w:t>
        <w:tab/>
        <w:t>Auditbericht</w:t>
      </w:r>
    </w:p>
    <w:p>
      <w:pPr>
        <w:pStyle w:val="Fuzeile"/>
        <w:numPr>
          <w:ilvl w:val="0"/>
          <w:numId w:val="7"/>
        </w:numPr>
        <w:tabs>
          <w:tab w:val="clear" w:pos="4536"/>
          <w:tab w:val="clear" w:pos="9072"/>
          <w:tab w:val="left" w:pos="1985" w:leader="none"/>
        </w:tabs>
        <w:rPr>
          <w:highlight w:val="yellow"/>
        </w:rPr>
      </w:pPr>
      <w:r>
        <w:rPr>
          <w:highlight w:val="yellow"/>
        </w:rPr>
        <w:t>FB 4-2_02</w:t>
        <w:tab/>
        <w:t>Auditplan</w:t>
      </w:r>
    </w:p>
    <w:p>
      <w:pPr>
        <w:pStyle w:val="Fuzeile"/>
        <w:numPr>
          <w:ilvl w:val="0"/>
          <w:numId w:val="7"/>
        </w:numPr>
        <w:tabs>
          <w:tab w:val="clear" w:pos="4536"/>
          <w:tab w:val="clear" w:pos="9072"/>
          <w:tab w:val="left" w:pos="1985" w:leader="none"/>
        </w:tabs>
        <w:jc w:val="left"/>
        <w:rPr>
          <w:rFonts w:cs="Arial"/>
          <w:highlight w:val="yellow"/>
        </w:rPr>
      </w:pPr>
      <w:r>
        <w:rPr>
          <w:highlight w:val="yellow"/>
        </w:rPr>
        <w:t>FB 4-2_03</w:t>
        <w:tab/>
        <w:t>Untervergabe-Bescheinigung w24</w:t>
      </w:r>
    </w:p>
    <w:sectPr>
      <w:headerReference w:type="default" r:id="rId2"/>
      <w:footerReference w:type="default" r:id="rId3"/>
      <w:type w:val="nextPage"/>
      <w:pgSz w:w="11906" w:h="16838"/>
      <w:pgMar w:left="1418" w:right="1134" w:gutter="0" w:header="709" w:top="1418"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Myriad Pro">
    <w:charset w:val="01"/>
    <w:family w:val="roman"/>
    <w:pitch w:val="variable"/>
  </w:font>
  <w:font w:name="Tahoma">
    <w:charset w:val="01"/>
    <w:family w:val="roman"/>
    <w:pitch w:val="variable"/>
  </w:font>
  <w:font w:name="Times New Roman">
    <w:charset w:val="01"/>
    <w:family w:val="roman"/>
    <w:pitch w:val="variable"/>
  </w:font>
  <w:font w:name="Arial">
    <w:charset w:val="01"/>
    <w:family w:val="roman"/>
    <w:pitch w:val="variable"/>
  </w:font>
  <w:font w:name="Liberation Sans">
    <w:altName w:val="Arial"/>
    <w:charset w:val="01"/>
    <w:family w:val="swiss"/>
    <w:pitch w:val="variable"/>
  </w:font>
  <w:font w:name="EUAlberti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604398484"/>
    </w:sdtPr>
    <w:sdtContent>
      <w:p>
        <w:pPr>
          <w:pStyle w:val="Normal"/>
          <w:pBdr>
            <w:top w:val="single" w:sz="4" w:space="1" w:color="000000"/>
          </w:pBdr>
          <w:spacing w:before="0" w:after="200"/>
          <w:rPr>
            <w:rFonts w:ascii="Myriad Pro" w:hAnsi="Myriad Pro"/>
            <w:color w:val="1F497D" w:themeColor="text2"/>
            <w:sz w:val="20"/>
            <w:szCs w:val="20"/>
          </w:rPr>
        </w:pPr>
        <w:r>
          <w:rPr>
            <w:color w:val="1F497D" w:themeColor="text2"/>
            <w:sz w:val="20"/>
            <w:szCs w:val="20"/>
          </w:rPr>
          <w:tab/>
        </w:r>
        <w:r>
          <w:rPr>
            <w:color w:val="1F497D" w:themeColor="text2"/>
            <w:sz w:val="20"/>
          </w:rPr>
          <w:t>VA 4-2_</w:t>
        </w:r>
        <w:r>
          <w:rPr>
            <w:color w:val="1F497D" w:themeColor="text2"/>
            <w:sz w:val="20"/>
          </w:rPr>
          <w:t>15.04.2022</w:t>
        </w:r>
        <w:r>
          <w:rPr>
            <w:color w:val="1F497D" w:themeColor="text2"/>
            <w:sz w:val="20"/>
            <w:highlight w:val="yellow"/>
          </w:rPr>
          <w:t>_F06</w:t>
        </w:r>
        <w:r>
          <w:rPr>
            <w:color w:val="1F497D" w:themeColor="text2"/>
            <w:sz w:val="20"/>
          </w:rPr>
          <w:t>_</w:t>
        </w:r>
        <w:r>
          <w:rPr>
            <w:color w:val="1F497D" w:themeColor="text2"/>
            <w:sz w:val="20"/>
          </w:rPr>
          <w:t xml:space="preserve">NW </w:t>
        </w:r>
        <w:r>
          <w:rPr>
            <w:color w:val="1F497D" w:themeColor="text2"/>
            <w:sz w:val="20"/>
            <w:szCs w:val="20"/>
          </w:rPr>
          <w:tab/>
          <w:t xml:space="preserve">Seite </w:t>
        </w:r>
        <w:r>
          <w:rPr>
            <w:color w:val="1F497D" w:themeColor="text2"/>
            <w:sz w:val="20"/>
            <w:szCs w:val="20"/>
          </w:rPr>
          <w:fldChar w:fldCharType="begin"/>
        </w:r>
        <w:r>
          <w:rPr>
            <w:sz w:val="20"/>
            <w:szCs w:val="20"/>
            <w:color w:val="1F497D"/>
          </w:rPr>
          <w:instrText xml:space="preserve"> PAGE </w:instrText>
        </w:r>
        <w:r>
          <w:rPr>
            <w:sz w:val="20"/>
            <w:szCs w:val="20"/>
            <w:color w:val="1F497D"/>
          </w:rPr>
          <w:fldChar w:fldCharType="separate"/>
        </w:r>
        <w:r>
          <w:rPr>
            <w:sz w:val="20"/>
            <w:szCs w:val="20"/>
            <w:color w:val="1F497D"/>
          </w:rPr>
          <w:t>8</w:t>
        </w:r>
        <w:r>
          <w:rPr>
            <w:sz w:val="20"/>
            <w:szCs w:val="20"/>
            <w:color w:val="1F497D"/>
          </w:rPr>
          <w:fldChar w:fldCharType="end"/>
        </w:r>
        <w:r>
          <w:rPr>
            <w:color w:val="1F497D" w:themeColor="text2"/>
            <w:sz w:val="20"/>
            <w:szCs w:val="20"/>
          </w:rPr>
          <w:t xml:space="preserve"> von </w:t>
        </w:r>
        <w:r>
          <w:rPr>
            <w:color w:val="1F497D" w:themeColor="text2"/>
            <w:sz w:val="20"/>
            <w:szCs w:val="20"/>
          </w:rPr>
          <w:fldChar w:fldCharType="begin"/>
        </w:r>
        <w:r>
          <w:rPr>
            <w:sz w:val="20"/>
            <w:szCs w:val="20"/>
            <w:color w:val="1F497D"/>
          </w:rPr>
          <w:instrText xml:space="preserve"> NUMPAGES </w:instrText>
        </w:r>
        <w:r>
          <w:rPr>
            <w:sz w:val="20"/>
            <w:szCs w:val="20"/>
            <w:color w:val="1F497D"/>
          </w:rPr>
          <w:fldChar w:fldCharType="separate"/>
        </w:r>
        <w:r>
          <w:rPr>
            <w:sz w:val="20"/>
            <w:szCs w:val="20"/>
            <w:color w:val="1F497D"/>
          </w:rPr>
          <w:t>9</w:t>
        </w:r>
        <w:r>
          <w:rPr>
            <w:sz w:val="20"/>
            <w:szCs w:val="20"/>
            <w:color w:val="1F497D"/>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erschrift2"/>
      <w:tabs>
        <w:tab w:val="clear" w:pos="708"/>
        <w:tab w:val="left" w:pos="3331" w:leader="none"/>
      </w:tabs>
      <w:spacing w:before="0" w:after="0"/>
      <w:rPr>
        <w:rFonts w:ascii="Myriad Pro" w:hAnsi="Myriad Pro"/>
        <w:color w:val="808080" w:themeColor="background1" w:themeShade="80"/>
        <w:sz w:val="22"/>
        <w:szCs w:val="23"/>
      </w:rPr>
    </w:pPr>
    <w:r>
      <w:drawing>
        <wp:anchor behindDoc="1" distT="0" distB="0" distL="0" distR="0" simplePos="0" locked="0" layoutInCell="0" allowOverlap="1" relativeHeight="10">
          <wp:simplePos x="0" y="0"/>
          <wp:positionH relativeFrom="page">
            <wp:posOffset>5185410</wp:posOffset>
          </wp:positionH>
          <wp:positionV relativeFrom="page">
            <wp:posOffset>284480</wp:posOffset>
          </wp:positionV>
          <wp:extent cx="1600835" cy="537210"/>
          <wp:effectExtent l="0" t="0" r="0" b="0"/>
          <wp:wrapNone/>
          <wp:docPr id="1" name="Bild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 descr=""/>
                  <pic:cNvPicPr>
                    <a:picLocks noChangeAspect="1" noChangeArrowheads="1"/>
                  </pic:cNvPicPr>
                </pic:nvPicPr>
                <pic:blipFill>
                  <a:blip r:embed="rId1"/>
                  <a:stretch>
                    <a:fillRect/>
                  </a:stretch>
                </pic:blipFill>
                <pic:spPr bwMode="auto">
                  <a:xfrm>
                    <a:off x="0" y="0"/>
                    <a:ext cx="1600835" cy="537210"/>
                  </a:xfrm>
                  <a:prstGeom prst="rect">
                    <a:avLst/>
                  </a:prstGeom>
                </pic:spPr>
              </pic:pic>
            </a:graphicData>
          </a:graphic>
        </wp:anchor>
      </w:drawing>
    </w:r>
    <w:sdt>
      <w:sdtPr>
        <w:id w:val="430585095"/>
        <w:dataBinding w:prefixMappings="xmlns:ns0='http://purl.org/dc/elements/1.1/' xmlns:ns1='http://schemas.openxmlformats.org/package/2006/metadata/core-properties' " w:xpath="/ns1:coreProperties[1]/ns0:subject[1]" w:storeItemID="{6C3C8BC8-F283-45AE-878A-BAB7291924A1}"/>
        <w:alias w:val="Betreff"/>
        <w:text/>
      </w:sdtPr>
      <w:sdtContent>
        <w:r>
          <w:rPr/>
          <w:t>Management-Handbuch</w:t>
        </w:r>
      </w:sdtContent>
    </w:sdt>
  </w:p>
  <w:p>
    <w:pPr>
      <w:pStyle w:val="Berschrift3"/>
      <w:spacing w:lineRule="auto" w:line="240" w:before="200" w:after="240"/>
      <w:rPr>
        <w:rFonts w:ascii="Myriad Pro" w:hAnsi="Myriad Pro"/>
      </w:rPr>
    </w:pPr>
    <w:sdt>
      <w:sdtPr>
        <w:id w:val="1774201842"/>
        <w:dataBinding w:prefixMappings="xmlns:ns0='http://purl.org/dc/elements/1.1/' xmlns:ns1='http://schemas.openxmlformats.org/package/2006/metadata/core-properties' " w:xpath="/ns1:coreProperties[1]/ns0:title[1]" w:storeItemID="{6C3C8BC8-F283-45AE-878A-BAB7291924A1}"/>
        <w:alias w:val="Titel"/>
        <w:text/>
      </w:sdtPr>
      <w:sdtContent>
        <w:r>
          <w:rPr/>
          <w:t>VA Audits</w:t>
        </w:r>
      </w:sdtContent>
    </w:sdt>
    <w:r>
      <w:rPr/>
      <mc:AlternateContent>
        <mc:Choice Requires="wps">
          <w:drawing>
            <wp:inline distT="0" distB="0" distL="0" distR="0">
              <wp:extent cx="5760720" cy="6350"/>
              <wp:effectExtent l="0" t="0" r="0" b="152400"/>
              <wp:docPr id="2" name=""/>
              <a:graphic xmlns:a="http://schemas.openxmlformats.org/drawingml/2006/main">
                <a:graphicData uri="http://schemas.microsoft.com/office/word/2010/wordprocessingShape">
                  <wps:wsp>
                    <wps:cNvSpPr/>
                    <wps:nvSpPr>
                      <wps:cNvPr id="0" name=""/>
                      <wps:cNvSpPr/>
                    </wps:nvSpPr>
                    <wps:spPr>
                      <a:xfrm>
                        <a:off x="0" y="0"/>
                        <a:ext cx="5760720" cy="6480"/>
                      </a:xfrm>
                      <a:prstGeom prst="rect">
                        <a:avLst/>
                      </a:prstGeom>
                      <a:solidFill>
                        <a:srgbClr val="000000"/>
                      </a:solidFill>
                      <a:ln w="0">
                        <a:noFill/>
                      </a:ln>
                    </wps:spPr>
                    <wps:bodyPr/>
                  </wps:wsp>
                </a:graphicData>
              </a:graphic>
              <wp14:sizeRelH relativeFrom="page">
                <wp14:pctWidth>100000</wp14:pctWidth>
              </wp14:sizeRelH>
            </wp:inline>
          </w:drawing>
        </mc:Choice>
        <mc:Fallback>
          <w:pict>
            <v:rect id="shape_0" fillcolor="black" stroked="f" o:allowincell="f" style="position:absolute;margin-left:0pt;margin-top:-12.55pt;width:453.55pt;height:0.45pt;mso-wrap-style:none;v-text-anchor:middle;mso-position-horizontal:center;mso-position-vertical:top">
              <v:fill o:detectmouseclick="t" type="solid" color2="white"/>
              <v:stroke color="#3465a4" joinstyle="round" endcap="flat"/>
              <w10:wrap type="topAndBottom"/>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709"/>
        </w:tabs>
        <w:ind w:left="709" w:hanging="360"/>
      </w:pPr>
      <w:rPr>
        <w:rFonts w:ascii="Symbol" w:hAnsi="Symbol" w:cs="Symbol" w:hint="default"/>
      </w:rPr>
    </w:lvl>
    <w:lvl w:ilvl="1">
      <w:start w:val="1"/>
      <w:numFmt w:val="bullet"/>
      <w:lvlText w:val="o"/>
      <w:lvlJc w:val="left"/>
      <w:pPr>
        <w:tabs>
          <w:tab w:val="num" w:pos="1429"/>
        </w:tabs>
        <w:ind w:left="1429" w:hanging="360"/>
      </w:pPr>
      <w:rPr>
        <w:rFonts w:ascii="Courier New" w:hAnsi="Courier New" w:cs="Courier New" w:hint="default"/>
      </w:rPr>
    </w:lvl>
    <w:lvl w:ilvl="2">
      <w:start w:val="1"/>
      <w:numFmt w:val="bullet"/>
      <w:lvlText w:val=""/>
      <w:lvlJc w:val="left"/>
      <w:pPr>
        <w:tabs>
          <w:tab w:val="num" w:pos="2149"/>
        </w:tabs>
        <w:ind w:left="2149" w:hanging="360"/>
      </w:pPr>
      <w:rPr>
        <w:rFonts w:ascii="Wingdings" w:hAnsi="Wingdings" w:cs="Wingdings" w:hint="default"/>
      </w:rPr>
    </w:lvl>
    <w:lvl w:ilvl="3">
      <w:start w:val="1"/>
      <w:numFmt w:val="bullet"/>
      <w:lvlText w:val=""/>
      <w:lvlJc w:val="left"/>
      <w:pPr>
        <w:tabs>
          <w:tab w:val="num" w:pos="2869"/>
        </w:tabs>
        <w:ind w:left="2869" w:hanging="360"/>
      </w:pPr>
      <w:rPr>
        <w:rFonts w:ascii="Symbol" w:hAnsi="Symbol" w:cs="Symbol" w:hint="default"/>
      </w:rPr>
    </w:lvl>
    <w:lvl w:ilvl="4">
      <w:start w:val="1"/>
      <w:numFmt w:val="bullet"/>
      <w:lvlText w:val="o"/>
      <w:lvlJc w:val="left"/>
      <w:pPr>
        <w:tabs>
          <w:tab w:val="num" w:pos="3589"/>
        </w:tabs>
        <w:ind w:left="3589" w:hanging="360"/>
      </w:pPr>
      <w:rPr>
        <w:rFonts w:ascii="Courier New" w:hAnsi="Courier New" w:cs="Courier New" w:hint="default"/>
      </w:rPr>
    </w:lvl>
    <w:lvl w:ilvl="5">
      <w:start w:val="1"/>
      <w:numFmt w:val="bullet"/>
      <w:lvlText w:val=""/>
      <w:lvlJc w:val="left"/>
      <w:pPr>
        <w:tabs>
          <w:tab w:val="num" w:pos="4309"/>
        </w:tabs>
        <w:ind w:left="4309" w:hanging="360"/>
      </w:pPr>
      <w:rPr>
        <w:rFonts w:ascii="Wingdings" w:hAnsi="Wingdings" w:cs="Wingdings" w:hint="default"/>
      </w:rPr>
    </w:lvl>
    <w:lvl w:ilvl="6">
      <w:start w:val="1"/>
      <w:numFmt w:val="bullet"/>
      <w:lvlText w:val=""/>
      <w:lvlJc w:val="left"/>
      <w:pPr>
        <w:tabs>
          <w:tab w:val="num" w:pos="5029"/>
        </w:tabs>
        <w:ind w:left="5029" w:hanging="360"/>
      </w:pPr>
      <w:rPr>
        <w:rFonts w:ascii="Symbol" w:hAnsi="Symbol" w:cs="Symbol" w:hint="default"/>
      </w:rPr>
    </w:lvl>
    <w:lvl w:ilvl="7">
      <w:start w:val="1"/>
      <w:numFmt w:val="bullet"/>
      <w:lvlText w:val="o"/>
      <w:lvlJc w:val="left"/>
      <w:pPr>
        <w:tabs>
          <w:tab w:val="num" w:pos="5749"/>
        </w:tabs>
        <w:ind w:left="5749" w:hanging="360"/>
      </w:pPr>
      <w:rPr>
        <w:rFonts w:ascii="Courier New" w:hAnsi="Courier New" w:cs="Courier New" w:hint="default"/>
      </w:rPr>
    </w:lvl>
    <w:lvl w:ilvl="8">
      <w:start w:val="1"/>
      <w:numFmt w:val="bullet"/>
      <w:lvlText w:val=""/>
      <w:lvlJc w:val="left"/>
      <w:pPr>
        <w:tabs>
          <w:tab w:val="num" w:pos="6469"/>
        </w:tabs>
        <w:ind w:left="6469" w:hanging="360"/>
      </w:pPr>
      <w:rPr>
        <w:rFonts w:ascii="Wingdings" w:hAnsi="Wingdings" w:cs="Wingdings"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Myriad Pro" w:hAnsi="Myriad Pro" w:eastAsia="Myriad Pro"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Body Text Indent 2" w:uiPriority="0"/>
    <w:lsdException w:name="Body Text Indent 3"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a0cea"/>
    <w:pPr>
      <w:widowControl/>
      <w:suppressAutoHyphens w:val="false"/>
      <w:bidi w:val="0"/>
      <w:spacing w:lineRule="auto" w:line="276" w:before="0" w:after="200"/>
      <w:jc w:val="both"/>
    </w:pPr>
    <w:rPr>
      <w:rFonts w:ascii="Myriad Pro" w:hAnsi="Myriad Pro" w:eastAsia="Myriad Pro" w:cs="" w:asciiTheme="minorHAnsi" w:cstheme="minorBidi" w:eastAsiaTheme="minorHAnsi" w:hAnsiTheme="minorHAnsi"/>
      <w:color w:val="auto"/>
      <w:kern w:val="0"/>
      <w:sz w:val="22"/>
      <w:szCs w:val="22"/>
      <w:lang w:val="de-DE" w:eastAsia="en-US" w:bidi="ar-SA"/>
    </w:rPr>
  </w:style>
  <w:style w:type="paragraph" w:styleId="Berschrift1">
    <w:name w:val="Heading 1"/>
    <w:basedOn w:val="Normal"/>
    <w:next w:val="Normal"/>
    <w:link w:val="Berschrift1Zchn"/>
    <w:uiPriority w:val="9"/>
    <w:qFormat/>
    <w:rsid w:val="00ce6e55"/>
    <w:pPr>
      <w:keepNext w:val="true"/>
      <w:keepLines/>
      <w:spacing w:before="600" w:after="240"/>
      <w:outlineLvl w:val="0"/>
    </w:pPr>
    <w:rPr>
      <w:rFonts w:ascii="Myriad Pro" w:hAnsi="Myriad Pro" w:eastAsia="" w:cs="" w:asciiTheme="majorHAnsi" w:cstheme="majorBidi" w:eastAsiaTheme="majorEastAsia" w:hAnsiTheme="majorHAnsi"/>
      <w:b/>
      <w:bCs/>
      <w:color w:val="1F497D" w:themeColor="text2"/>
      <w:sz w:val="28"/>
      <w:szCs w:val="28"/>
    </w:rPr>
  </w:style>
  <w:style w:type="paragraph" w:styleId="Berschrift2">
    <w:name w:val="Heading 2"/>
    <w:basedOn w:val="Normal"/>
    <w:next w:val="Normal"/>
    <w:link w:val="Berschrift2Zchn"/>
    <w:uiPriority w:val="9"/>
    <w:unhideWhenUsed/>
    <w:qFormat/>
    <w:rsid w:val="00895e70"/>
    <w:pPr>
      <w:keepNext w:val="true"/>
      <w:keepLines/>
      <w:spacing w:before="200" w:after="0"/>
      <w:outlineLvl w:val="1"/>
    </w:pPr>
    <w:rPr>
      <w:rFonts w:ascii="Myriad Pro" w:hAnsi="Myriad Pro" w:eastAsia="" w:cs="" w:asciiTheme="majorHAnsi" w:cstheme="majorBidi" w:eastAsiaTheme="majorEastAsia" w:hAnsiTheme="majorHAnsi"/>
      <w:b/>
      <w:bCs/>
      <w:color w:val="2F70BF"/>
      <w:sz w:val="26"/>
      <w:szCs w:val="26"/>
    </w:rPr>
  </w:style>
  <w:style w:type="paragraph" w:styleId="Berschrift3">
    <w:name w:val="Heading 3"/>
    <w:basedOn w:val="Normal"/>
    <w:next w:val="Normal"/>
    <w:link w:val="Berschrift3Zchn"/>
    <w:uiPriority w:val="9"/>
    <w:unhideWhenUsed/>
    <w:qFormat/>
    <w:rsid w:val="00e32aa4"/>
    <w:pPr>
      <w:keepNext w:val="true"/>
      <w:keepLines/>
      <w:spacing w:before="200" w:after="0"/>
      <w:outlineLvl w:val="2"/>
    </w:pPr>
    <w:rPr>
      <w:rFonts w:ascii="Myriad Pro" w:hAnsi="Myriad Pro" w:eastAsia="" w:cs="" w:asciiTheme="majorHAnsi" w:cstheme="majorBidi" w:eastAsiaTheme="majorEastAsia" w:hAnsiTheme="majorHAnsi"/>
      <w:b/>
      <w:bCs/>
      <w:color w:val="2F70BF"/>
    </w:rPr>
  </w:style>
  <w:style w:type="paragraph" w:styleId="Berschrift4">
    <w:name w:val="Heading 4"/>
    <w:basedOn w:val="Normal"/>
    <w:next w:val="Normal"/>
    <w:link w:val="Berschrift4Zchn"/>
    <w:uiPriority w:val="9"/>
    <w:semiHidden/>
    <w:unhideWhenUsed/>
    <w:qFormat/>
    <w:rsid w:val="00e32aa4"/>
    <w:pPr>
      <w:keepNext w:val="true"/>
      <w:keepLines/>
      <w:spacing w:before="200" w:after="0"/>
      <w:outlineLvl w:val="3"/>
    </w:pPr>
    <w:rPr>
      <w:rFonts w:ascii="Myriad Pro" w:hAnsi="Myriad Pro" w:eastAsia="" w:cs="" w:asciiTheme="majorHAnsi" w:cstheme="majorBidi" w:eastAsiaTheme="majorEastAsia" w:hAnsiTheme="majorHAnsi"/>
      <w:b/>
      <w:bCs/>
      <w:i/>
      <w:iCs/>
      <w:color w:val="2F70BF"/>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BalloonText"/>
    <w:uiPriority w:val="99"/>
    <w:semiHidden/>
    <w:qFormat/>
    <w:rsid w:val="000144c1"/>
    <w:rPr>
      <w:rFonts w:ascii="Tahoma" w:hAnsi="Tahoma" w:cs="Tahoma"/>
      <w:sz w:val="16"/>
      <w:szCs w:val="16"/>
    </w:rPr>
  </w:style>
  <w:style w:type="character" w:styleId="KopfzeileZchn" w:customStyle="1">
    <w:name w:val="Kopfzeile Zchn"/>
    <w:basedOn w:val="DefaultParagraphFont"/>
    <w:uiPriority w:val="99"/>
    <w:qFormat/>
    <w:rsid w:val="000144c1"/>
    <w:rPr/>
  </w:style>
  <w:style w:type="character" w:styleId="FuzeileZchn" w:customStyle="1">
    <w:name w:val="Fußzeile Zchn"/>
    <w:basedOn w:val="DefaultParagraphFont"/>
    <w:uiPriority w:val="99"/>
    <w:qFormat/>
    <w:rsid w:val="000144c1"/>
    <w:rPr/>
  </w:style>
  <w:style w:type="character" w:styleId="Berschrift1Zchn" w:customStyle="1">
    <w:name w:val="Überschrift 1 Zchn"/>
    <w:basedOn w:val="DefaultParagraphFont"/>
    <w:uiPriority w:val="9"/>
    <w:qFormat/>
    <w:rsid w:val="00ce6e55"/>
    <w:rPr>
      <w:rFonts w:ascii="Myriad Pro" w:hAnsi="Myriad Pro" w:eastAsia="" w:cs="" w:asciiTheme="majorHAnsi" w:cstheme="majorBidi" w:eastAsiaTheme="majorEastAsia" w:hAnsiTheme="majorHAnsi"/>
      <w:b/>
      <w:bCs/>
      <w:color w:val="1F497D" w:themeColor="text2"/>
      <w:sz w:val="28"/>
      <w:szCs w:val="28"/>
    </w:rPr>
  </w:style>
  <w:style w:type="character" w:styleId="Internetverknpfung">
    <w:name w:val="Internetverknüpfung"/>
    <w:basedOn w:val="DefaultParagraphFont"/>
    <w:uiPriority w:val="99"/>
    <w:unhideWhenUsed/>
    <w:rsid w:val="00b07ed7"/>
    <w:rPr>
      <w:color w:val="0000FF" w:themeColor="hyperlink"/>
      <w:u w:val="single"/>
    </w:rPr>
  </w:style>
  <w:style w:type="character" w:styleId="Berschrift2Zchn" w:customStyle="1">
    <w:name w:val="Überschrift 2 Zchn"/>
    <w:basedOn w:val="DefaultParagraphFont"/>
    <w:uiPriority w:val="9"/>
    <w:qFormat/>
    <w:rsid w:val="00895e70"/>
    <w:rPr>
      <w:rFonts w:ascii="Myriad Pro" w:hAnsi="Myriad Pro" w:eastAsia="" w:cs="" w:asciiTheme="majorHAnsi" w:cstheme="majorBidi" w:eastAsiaTheme="majorEastAsia" w:hAnsiTheme="majorHAnsi"/>
      <w:b/>
      <w:bCs/>
      <w:color w:val="2F70BF"/>
      <w:sz w:val="26"/>
      <w:szCs w:val="26"/>
    </w:rPr>
  </w:style>
  <w:style w:type="character" w:styleId="Berschrift3Zchn" w:customStyle="1">
    <w:name w:val="Überschrift 3 Zchn"/>
    <w:basedOn w:val="DefaultParagraphFont"/>
    <w:uiPriority w:val="9"/>
    <w:qFormat/>
    <w:rsid w:val="00e32aa4"/>
    <w:rPr>
      <w:rFonts w:ascii="Myriad Pro" w:hAnsi="Myriad Pro" w:eastAsia="" w:cs="" w:asciiTheme="majorHAnsi" w:cstheme="majorBidi" w:eastAsiaTheme="majorEastAsia" w:hAnsiTheme="majorHAnsi"/>
      <w:b/>
      <w:bCs/>
      <w:color w:val="2F70BF"/>
    </w:rPr>
  </w:style>
  <w:style w:type="character" w:styleId="PlaceholderText">
    <w:name w:val="Placeholder Text"/>
    <w:basedOn w:val="DefaultParagraphFont"/>
    <w:uiPriority w:val="99"/>
    <w:semiHidden/>
    <w:qFormat/>
    <w:rsid w:val="004d3dd9"/>
    <w:rPr>
      <w:color w:val="808080"/>
    </w:rPr>
  </w:style>
  <w:style w:type="character" w:styleId="Berschrift4Zchn" w:customStyle="1">
    <w:name w:val="Überschrift 4 Zchn"/>
    <w:basedOn w:val="DefaultParagraphFont"/>
    <w:uiPriority w:val="9"/>
    <w:semiHidden/>
    <w:qFormat/>
    <w:rsid w:val="00e32aa4"/>
    <w:rPr>
      <w:rFonts w:ascii="Myriad Pro" w:hAnsi="Myriad Pro" w:eastAsia="" w:cs="" w:asciiTheme="majorHAnsi" w:cstheme="majorBidi" w:eastAsiaTheme="majorEastAsia" w:hAnsiTheme="majorHAnsi"/>
      <w:b/>
      <w:bCs/>
      <w:i/>
      <w:iCs/>
      <w:color w:val="2F70BF"/>
    </w:rPr>
  </w:style>
  <w:style w:type="character" w:styleId="TextkrperEinzug2Zchn" w:customStyle="1">
    <w:name w:val="Textkörper-Einzug 2 Zchn"/>
    <w:basedOn w:val="DefaultParagraphFont"/>
    <w:link w:val="BodyTextIndent2"/>
    <w:qFormat/>
    <w:rsid w:val="00f8509d"/>
    <w:rPr>
      <w:rFonts w:ascii="Times New Roman" w:hAnsi="Times New Roman" w:eastAsia="Times New Roman" w:cs="Times New Roman"/>
      <w:sz w:val="24"/>
      <w:szCs w:val="24"/>
      <w:lang w:eastAsia="de-DE"/>
    </w:rPr>
  </w:style>
  <w:style w:type="character" w:styleId="TextkrperEinzug3Zchn" w:customStyle="1">
    <w:name w:val="Textkörper-Einzug 3 Zchn"/>
    <w:basedOn w:val="DefaultParagraphFont"/>
    <w:link w:val="BodyTextIndent3"/>
    <w:qFormat/>
    <w:rsid w:val="00f8509d"/>
    <w:rPr>
      <w:rFonts w:ascii="Times New Roman" w:hAnsi="Times New Roman" w:eastAsia="Times New Roman" w:cs="Times New Roman"/>
      <w:sz w:val="24"/>
      <w:szCs w:val="24"/>
      <w:lang w:eastAsia="de-DE"/>
    </w:rPr>
  </w:style>
  <w:style w:type="character" w:styleId="Textkrper2Zchn" w:customStyle="1">
    <w:name w:val="Textkörper 2 Zchn"/>
    <w:basedOn w:val="DefaultParagraphFont"/>
    <w:link w:val="BodyText2"/>
    <w:qFormat/>
    <w:rsid w:val="00f8509d"/>
    <w:rPr>
      <w:rFonts w:ascii="Arial" w:hAnsi="Arial" w:eastAsia="Times New Roman" w:cs="Times New Roman"/>
      <w:sz w:val="20"/>
      <w:szCs w:val="24"/>
      <w:lang w:eastAsia="de-DE"/>
    </w:rPr>
  </w:style>
  <w:style w:type="character" w:styleId="Verzeichnissprung">
    <w:name w:val="Verzeichnissprung"/>
    <w:qFormat/>
    <w:rPr/>
  </w:style>
  <w:style w:type="paragraph" w:styleId="Berschrift">
    <w:name w:val="Überschrift"/>
    <w:basedOn w:val="Normal"/>
    <w:next w:val="Textkrper"/>
    <w:qFormat/>
    <w:pPr>
      <w:keepNext w:val="true"/>
      <w:spacing w:before="240" w:after="120"/>
    </w:pPr>
    <w:rPr>
      <w:rFonts w:ascii="Liberation Sans" w:hAnsi="Liberation Sans" w:eastAsia="Noto Sans CJK SC" w:cs="Lohit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lang w:val="zxx" w:eastAsia="zxx" w:bidi="zxx"/>
    </w:rPr>
  </w:style>
  <w:style w:type="paragraph" w:styleId="BalloonText">
    <w:name w:val="Balloon Text"/>
    <w:basedOn w:val="Normal"/>
    <w:link w:val="SprechblasentextZchn"/>
    <w:uiPriority w:val="99"/>
    <w:semiHidden/>
    <w:unhideWhenUsed/>
    <w:qFormat/>
    <w:rsid w:val="000144c1"/>
    <w:pPr>
      <w:spacing w:lineRule="auto" w:line="240" w:before="0" w:after="0"/>
    </w:pPr>
    <w:rPr>
      <w:rFonts w:ascii="Tahoma" w:hAnsi="Tahoma" w:cs="Tahoma"/>
      <w:sz w:val="16"/>
      <w:szCs w:val="16"/>
    </w:rPr>
  </w:style>
  <w:style w:type="paragraph" w:styleId="KopfundFuzeile">
    <w:name w:val="Kopf- und Fußzeile"/>
    <w:basedOn w:val="Normal"/>
    <w:qFormat/>
    <w:pPr/>
    <w:rPr/>
  </w:style>
  <w:style w:type="paragraph" w:styleId="Kopfzeile">
    <w:name w:val="Header"/>
    <w:basedOn w:val="Normal"/>
    <w:link w:val="KopfzeileZchn"/>
    <w:unhideWhenUsed/>
    <w:rsid w:val="000144c1"/>
    <w:pPr>
      <w:tabs>
        <w:tab w:val="clear" w:pos="708"/>
        <w:tab w:val="center" w:pos="4536" w:leader="none"/>
        <w:tab w:val="right" w:pos="9072" w:leader="none"/>
      </w:tabs>
      <w:spacing w:lineRule="auto" w:line="240" w:before="0" w:after="0"/>
    </w:pPr>
    <w:rPr/>
  </w:style>
  <w:style w:type="paragraph" w:styleId="Fuzeile">
    <w:name w:val="Footer"/>
    <w:basedOn w:val="Normal"/>
    <w:link w:val="FuzeileZchn"/>
    <w:unhideWhenUsed/>
    <w:rsid w:val="000144c1"/>
    <w:pPr>
      <w:tabs>
        <w:tab w:val="clear" w:pos="708"/>
        <w:tab w:val="center" w:pos="4536" w:leader="none"/>
        <w:tab w:val="right" w:pos="9072" w:leader="none"/>
      </w:tabs>
      <w:spacing w:lineRule="auto" w:line="240" w:before="0" w:after="0"/>
    </w:pPr>
    <w:rPr/>
  </w:style>
  <w:style w:type="paragraph" w:styleId="Stichwortverzeichnisberschrift">
    <w:name w:val="Index Heading"/>
    <w:basedOn w:val="Berschrift"/>
    <w:pPr/>
    <w:rPr/>
  </w:style>
  <w:style w:type="paragraph" w:styleId="Inhaltsverzeichnisberschrift">
    <w:name w:val="TOC Heading"/>
    <w:basedOn w:val="Berschrift1"/>
    <w:next w:val="Normal"/>
    <w:uiPriority w:val="39"/>
    <w:unhideWhenUsed/>
    <w:qFormat/>
    <w:rsid w:val="00b07ed7"/>
    <w:pPr>
      <w:outlineLvl w:val="9"/>
    </w:pPr>
    <w:rPr/>
  </w:style>
  <w:style w:type="paragraph" w:styleId="Inhaltsverzeichnis2">
    <w:name w:val="TOC 2"/>
    <w:basedOn w:val="Normal"/>
    <w:next w:val="Normal"/>
    <w:autoRedefine/>
    <w:uiPriority w:val="39"/>
    <w:unhideWhenUsed/>
    <w:qFormat/>
    <w:rsid w:val="00b07ed7"/>
    <w:pPr>
      <w:spacing w:before="0" w:after="100"/>
      <w:ind w:left="220" w:hanging="0"/>
    </w:pPr>
    <w:rPr>
      <w:rFonts w:eastAsia="" w:eastAsiaTheme="minorEastAsia"/>
    </w:rPr>
  </w:style>
  <w:style w:type="paragraph" w:styleId="Inhaltsverzeichnis1">
    <w:name w:val="TOC 1"/>
    <w:basedOn w:val="Normal"/>
    <w:next w:val="Normal"/>
    <w:autoRedefine/>
    <w:uiPriority w:val="39"/>
    <w:unhideWhenUsed/>
    <w:qFormat/>
    <w:rsid w:val="00b07ed7"/>
    <w:pPr>
      <w:spacing w:before="0" w:after="100"/>
    </w:pPr>
    <w:rPr>
      <w:rFonts w:eastAsia="" w:eastAsiaTheme="minorEastAsia"/>
    </w:rPr>
  </w:style>
  <w:style w:type="paragraph" w:styleId="Inhaltsverzeichnis3">
    <w:name w:val="TOC 3"/>
    <w:basedOn w:val="Normal"/>
    <w:next w:val="Normal"/>
    <w:autoRedefine/>
    <w:uiPriority w:val="39"/>
    <w:unhideWhenUsed/>
    <w:qFormat/>
    <w:rsid w:val="00b07ed7"/>
    <w:pPr>
      <w:spacing w:before="0" w:after="100"/>
      <w:ind w:left="440" w:hanging="0"/>
    </w:pPr>
    <w:rPr>
      <w:rFonts w:eastAsia="" w:eastAsiaTheme="minorEastAsia"/>
    </w:rPr>
  </w:style>
  <w:style w:type="paragraph" w:styleId="ListParagraph">
    <w:name w:val="List Paragraph"/>
    <w:basedOn w:val="Normal"/>
    <w:uiPriority w:val="34"/>
    <w:qFormat/>
    <w:rsid w:val="00387716"/>
    <w:pPr>
      <w:spacing w:before="0" w:after="200"/>
      <w:ind w:left="720" w:hanging="0"/>
      <w:contextualSpacing/>
    </w:pPr>
    <w:rPr>
      <w:rFonts w:ascii="Myriad Pro" w:hAnsi="Myriad Pro" w:eastAsia="Myriad Pro" w:cs="Times New Roman"/>
    </w:rPr>
  </w:style>
  <w:style w:type="paragraph" w:styleId="NoSpacing">
    <w:name w:val="No Spacing"/>
    <w:qFormat/>
    <w:rsid w:val="00946754"/>
    <w:pPr>
      <w:widowControl/>
      <w:bidi w:val="0"/>
      <w:spacing w:lineRule="auto" w:line="240" w:before="0" w:after="0"/>
      <w:jc w:val="left"/>
    </w:pPr>
    <w:rPr>
      <w:rFonts w:ascii="Myriad Pro" w:hAnsi="Myriad Pro" w:eastAsia="Myriad Pro" w:cs="Times New Roman" w:asciiTheme="minorHAnsi" w:eastAsiaTheme="minorHAnsi" w:hAnsiTheme="minorHAnsi"/>
      <w:color w:val="auto"/>
      <w:kern w:val="0"/>
      <w:sz w:val="22"/>
      <w:szCs w:val="22"/>
      <w:lang w:val="de-DE" w:eastAsia="en-US" w:bidi="ar-SA"/>
    </w:rPr>
  </w:style>
  <w:style w:type="paragraph" w:styleId="KeinLeerraum1" w:customStyle="1">
    <w:name w:val="Kein Leerraum1"/>
    <w:qFormat/>
    <w:rsid w:val="00f344a3"/>
    <w:pPr>
      <w:widowControl/>
      <w:suppressAutoHyphens w:val="true"/>
      <w:bidi w:val="0"/>
      <w:spacing w:lineRule="auto" w:line="240" w:before="0" w:after="0"/>
      <w:jc w:val="left"/>
    </w:pPr>
    <w:rPr>
      <w:rFonts w:ascii="Myriad Pro" w:hAnsi="Myriad Pro" w:eastAsia="Myriad Pro" w:cs="Myriad Pro" w:asciiTheme="minorHAnsi" w:eastAsiaTheme="minorHAnsi" w:hAnsiTheme="minorHAnsi"/>
      <w:color w:val="auto"/>
      <w:kern w:val="0"/>
      <w:sz w:val="22"/>
      <w:szCs w:val="22"/>
      <w:lang w:eastAsia="hi-IN" w:bidi="hi-IN" w:val="de-DE"/>
    </w:rPr>
  </w:style>
  <w:style w:type="paragraph" w:styleId="BodyTextIndent2">
    <w:name w:val="Body Text Indent 2"/>
    <w:basedOn w:val="Normal"/>
    <w:link w:val="TextkrperEinzug2Zchn"/>
    <w:qFormat/>
    <w:rsid w:val="00f8509d"/>
    <w:pPr>
      <w:spacing w:lineRule="auto" w:line="240" w:before="0" w:after="0"/>
      <w:ind w:left="2268" w:hanging="2268"/>
    </w:pPr>
    <w:rPr>
      <w:rFonts w:ascii="Times New Roman" w:hAnsi="Times New Roman" w:eastAsia="Times New Roman" w:cs="Times New Roman"/>
      <w:sz w:val="24"/>
      <w:szCs w:val="24"/>
      <w:lang w:eastAsia="de-DE"/>
    </w:rPr>
  </w:style>
  <w:style w:type="paragraph" w:styleId="BodyTextIndent3">
    <w:name w:val="Body Text Indent 3"/>
    <w:basedOn w:val="Normal"/>
    <w:link w:val="TextkrperEinzug3Zchn"/>
    <w:qFormat/>
    <w:rsid w:val="00f8509d"/>
    <w:pPr>
      <w:spacing w:lineRule="auto" w:line="240" w:before="0" w:after="0"/>
      <w:ind w:left="709" w:hanging="283"/>
    </w:pPr>
    <w:rPr>
      <w:rFonts w:ascii="Times New Roman" w:hAnsi="Times New Roman" w:eastAsia="Times New Roman" w:cs="Times New Roman"/>
      <w:sz w:val="24"/>
      <w:szCs w:val="24"/>
      <w:lang w:eastAsia="de-DE"/>
    </w:rPr>
  </w:style>
  <w:style w:type="paragraph" w:styleId="BodyText2">
    <w:name w:val="Body Text 2"/>
    <w:basedOn w:val="Normal"/>
    <w:link w:val="Textkrper2Zchn"/>
    <w:qFormat/>
    <w:rsid w:val="00f8509d"/>
    <w:pPr>
      <w:tabs>
        <w:tab w:val="clear" w:pos="708"/>
        <w:tab w:val="left" w:pos="2269" w:leader="none"/>
        <w:tab w:val="left" w:pos="3969" w:leader="none"/>
      </w:tabs>
      <w:spacing w:lineRule="auto" w:line="240" w:before="0" w:after="0"/>
    </w:pPr>
    <w:rPr>
      <w:rFonts w:ascii="Arial" w:hAnsi="Arial" w:eastAsia="Times New Roman" w:cs="Times New Roman"/>
      <w:sz w:val="20"/>
      <w:szCs w:val="24"/>
      <w:lang w:eastAsia="de-DE"/>
    </w:rPr>
  </w:style>
  <w:style w:type="paragraph" w:styleId="CM1" w:customStyle="1">
    <w:name w:val="CM1"/>
    <w:basedOn w:val="Normal"/>
    <w:next w:val="Normal"/>
    <w:uiPriority w:val="99"/>
    <w:qFormat/>
    <w:rsid w:val="004b0932"/>
    <w:pPr>
      <w:spacing w:lineRule="auto" w:line="240" w:before="0" w:after="0"/>
      <w:jc w:val="left"/>
    </w:pPr>
    <w:rPr>
      <w:rFonts w:ascii="EUAlbertina" w:hAnsi="EUAlbertina"/>
      <w:sz w:val="24"/>
      <w:szCs w:val="24"/>
    </w:rPr>
  </w:style>
  <w:style w:type="paragraph" w:styleId="CM3" w:customStyle="1">
    <w:name w:val="CM3"/>
    <w:basedOn w:val="Normal"/>
    <w:next w:val="Normal"/>
    <w:uiPriority w:val="99"/>
    <w:qFormat/>
    <w:rsid w:val="004b0932"/>
    <w:pPr>
      <w:spacing w:lineRule="auto" w:line="240" w:before="0" w:after="0"/>
      <w:jc w:val="left"/>
    </w:pPr>
    <w:rPr>
      <w:rFonts w:ascii="EUAlbertina" w:hAnsi="EUAlbertina"/>
      <w:sz w:val="24"/>
      <w:szCs w:val="24"/>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cf754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w24">
      <a:majorFont>
        <a:latin typeface="Myriad Pro"/>
        <a:ea typeface=""/>
        <a:cs typeface=""/>
      </a:majorFont>
      <a:minorFont>
        <a:latin typeface="Myriad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8A75F-9BFA-4DD1-BE13-B429226A2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Application>LibreOffice/7.3.5.2$Linux_X86_64 LibreOffice_project/30$Build-2</Application>
  <AppVersion>15.0000</AppVersion>
  <Pages>9</Pages>
  <Words>1445</Words>
  <Characters>10230</Characters>
  <CharactersWithSpaces>11455</CharactersWithSpaces>
  <Paragraphs>185</Paragraphs>
  <Company>waggon24 GmbH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2013-11-12T10:25:00Z</dcterms:created>
  <dc:creator>Markus Behnke</dc:creator>
  <dc:description/>
  <dc:language>de-DE</dc:language>
  <cp:lastModifiedBy/>
  <cp:lastPrinted>2013-11-12T10:25:00Z</cp:lastPrinted>
  <dcterms:modified xsi:type="dcterms:W3CDTF">2022-08-16T13:03:11Z</dcterms:modified>
  <cp:revision>10</cp:revision>
  <dc:subject>Management-Handbuch</dc:subject>
  <dc:title>VA Audits</dc:title>
</cp:coreProperties>
</file>

<file path=docProps/custom.xml><?xml version="1.0" encoding="utf-8"?>
<Properties xmlns="http://schemas.openxmlformats.org/officeDocument/2006/custom-properties" xmlns:vt="http://schemas.openxmlformats.org/officeDocument/2006/docPropsVTypes"/>
</file>